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AF15" w14:textId="77777777" w:rsidR="00CF3AE3" w:rsidRPr="005B3C58" w:rsidRDefault="00CF3AE3" w:rsidP="00283B18">
      <w:pPr>
        <w:jc w:val="center"/>
        <w:rPr>
          <w:rFonts w:ascii="Amalia" w:hAnsi="Amalia"/>
          <w:b/>
          <w:bCs/>
          <w:sz w:val="24"/>
          <w:szCs w:val="24"/>
        </w:rPr>
      </w:pPr>
    </w:p>
    <w:p w14:paraId="6C6CD45E" w14:textId="77777777" w:rsidR="00CF3AE3" w:rsidRPr="005B3C58" w:rsidRDefault="00CF3AE3" w:rsidP="00283B18">
      <w:pPr>
        <w:jc w:val="center"/>
        <w:rPr>
          <w:rFonts w:ascii="Amalia" w:hAnsi="Amalia"/>
          <w:b/>
          <w:bCs/>
          <w:sz w:val="24"/>
          <w:szCs w:val="24"/>
        </w:rPr>
      </w:pPr>
    </w:p>
    <w:p w14:paraId="17FFE794" w14:textId="6851660A" w:rsidR="00283B18" w:rsidRPr="005B3C58" w:rsidRDefault="00283B18" w:rsidP="00283B18">
      <w:pPr>
        <w:jc w:val="center"/>
        <w:rPr>
          <w:rFonts w:ascii="Amalia" w:hAnsi="Amalia"/>
          <w:b/>
          <w:bCs/>
          <w:sz w:val="24"/>
          <w:szCs w:val="24"/>
        </w:rPr>
      </w:pPr>
      <w:r w:rsidRPr="005B3C58">
        <w:rPr>
          <w:rFonts w:ascii="Amalia" w:hAnsi="Amalia"/>
          <w:b/>
          <w:bCs/>
          <w:sz w:val="24"/>
          <w:szCs w:val="24"/>
        </w:rPr>
        <w:t xml:space="preserve">Шановний </w:t>
      </w:r>
      <w:r w:rsidR="00317B7B" w:rsidRPr="005B3C58">
        <w:rPr>
          <w:rFonts w:ascii="Amalia" w:hAnsi="Amalia"/>
          <w:b/>
          <w:bCs/>
          <w:sz w:val="24"/>
          <w:szCs w:val="24"/>
        </w:rPr>
        <w:t>К</w:t>
      </w:r>
      <w:r w:rsidRPr="005B3C58">
        <w:rPr>
          <w:rFonts w:ascii="Amalia" w:hAnsi="Amalia"/>
          <w:b/>
          <w:bCs/>
          <w:sz w:val="24"/>
          <w:szCs w:val="24"/>
        </w:rPr>
        <w:t>лієнте!</w:t>
      </w:r>
    </w:p>
    <w:p w14:paraId="5897953F" w14:textId="77777777" w:rsidR="005272A9" w:rsidRPr="005B3C58" w:rsidRDefault="005272A9" w:rsidP="007C5C8B">
      <w:pPr>
        <w:pStyle w:val="xxmsonormal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</w:p>
    <w:p w14:paraId="02E3D5CC" w14:textId="39D52285" w:rsidR="005B3C58" w:rsidRDefault="005272A9" w:rsidP="00EA7FA1">
      <w:pPr>
        <w:pStyle w:val="xxmsonormal"/>
        <w:ind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>Інформуємо Вас</w:t>
      </w:r>
      <w:r w:rsidR="007C5C8B"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, </w:t>
      </w:r>
      <w:r w:rsidR="005B3C58"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що 24 лютого 2022 року набрала чинності </w:t>
      </w:r>
      <w:r w:rsidR="005B3C58">
        <w:rPr>
          <w:rFonts w:ascii="Amalia" w:hAnsi="Amalia"/>
          <w:sz w:val="24"/>
          <w:szCs w:val="24"/>
          <w:shd w:val="clear" w:color="auto" w:fill="FFFFFF"/>
          <w:lang w:val="uk-UA"/>
        </w:rPr>
        <w:t>п</w:t>
      </w:r>
      <w:r w:rsidR="005B3C58"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останова Правління НБУ «Про роботу банківської системи в період запровадження воєнного стану» від 24.02.22 №18 (із врахуванням змін). </w:t>
      </w:r>
    </w:p>
    <w:p w14:paraId="6F7F7C8C" w14:textId="77777777" w:rsidR="005B3C58" w:rsidRDefault="005B3C58" w:rsidP="00EA7FA1">
      <w:pPr>
        <w:pStyle w:val="xxmsonormal"/>
        <w:ind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</w:p>
    <w:p w14:paraId="146D1AE5" w14:textId="6A03109C" w:rsidR="00EA7FA1" w:rsidRDefault="00EA7FA1" w:rsidP="00EA7FA1">
      <w:pPr>
        <w:pStyle w:val="xxmsonormal"/>
        <w:ind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>У зв</w:t>
      </w:r>
      <w:r w:rsidRPr="005B3C58">
        <w:rPr>
          <w:rFonts w:ascii="Amalia" w:hAnsi="Amalia"/>
          <w:sz w:val="24"/>
          <w:szCs w:val="24"/>
          <w:shd w:val="clear" w:color="auto" w:fill="FFFFFF"/>
        </w:rPr>
        <w:t>’</w:t>
      </w:r>
      <w:proofErr w:type="spellStart"/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>язку</w:t>
      </w:r>
      <w:proofErr w:type="spellEnd"/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 з чим</w:t>
      </w:r>
      <w:r w:rsidR="005B3C58">
        <w:rPr>
          <w:rFonts w:ascii="Amalia" w:hAnsi="Amalia"/>
          <w:sz w:val="24"/>
          <w:szCs w:val="24"/>
          <w:shd w:val="clear" w:color="auto" w:fill="FFFFFF"/>
          <w:lang w:val="uk-UA"/>
        </w:rPr>
        <w:t>,</w:t>
      </w:r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 було введен</w:t>
      </w:r>
      <w:bookmarkStart w:id="0" w:name="_GoBack"/>
      <w:bookmarkEnd w:id="0"/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>о ряд обмежень за операціями в іноземній валюті, а саме:</w:t>
      </w:r>
    </w:p>
    <w:p w14:paraId="2AA1F85C" w14:textId="77777777" w:rsidR="005B3C58" w:rsidRPr="005B3C58" w:rsidRDefault="005B3C58" w:rsidP="00EA7FA1">
      <w:pPr>
        <w:pStyle w:val="xxmsonormal"/>
        <w:ind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</w:p>
    <w:p w14:paraId="38AD79AA" w14:textId="2414C184" w:rsidR="00EA7FA1" w:rsidRPr="005B3C58" w:rsidRDefault="004D19F6" w:rsidP="00EA7FA1">
      <w:pPr>
        <w:pStyle w:val="ac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malia" w:hAnsi="Amalia"/>
          <w:b/>
          <w:sz w:val="24"/>
          <w:szCs w:val="24"/>
        </w:rPr>
      </w:pPr>
      <w:r w:rsidRPr="0045438C">
        <w:rPr>
          <w:rFonts w:ascii="Amalia" w:hAnsi="Amalia"/>
          <w:b/>
          <w:sz w:val="24"/>
          <w:szCs w:val="24"/>
          <w:shd w:val="clear" w:color="auto" w:fill="FFFFFF"/>
        </w:rPr>
        <w:t>Недоступн</w:t>
      </w:r>
      <w:r>
        <w:rPr>
          <w:rFonts w:ascii="Amalia" w:hAnsi="Amalia"/>
          <w:b/>
          <w:sz w:val="24"/>
          <w:szCs w:val="24"/>
          <w:shd w:val="clear" w:color="auto" w:fill="FFFFFF"/>
        </w:rPr>
        <w:t xml:space="preserve">і </w:t>
      </w:r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>операції з видачі готівкових коштів з рахунків клієнтів в іноземній валюті,</w:t>
      </w:r>
      <w:r w:rsidR="00EA7FA1" w:rsidRPr="005B3C58">
        <w:rPr>
          <w:rFonts w:ascii="Amalia" w:hAnsi="Amalia"/>
          <w:b/>
          <w:sz w:val="24"/>
          <w:szCs w:val="24"/>
        </w:rPr>
        <w:t xml:space="preserve"> крім підприємств та установ, що забезпечують виконання мобілізаційних планів (завдань), Уряду та окремих дозволів Національного банку України. </w:t>
      </w:r>
    </w:p>
    <w:p w14:paraId="72214A9E" w14:textId="4B50B07B" w:rsidR="00EA7FA1" w:rsidRPr="005B3C58" w:rsidRDefault="004D19F6" w:rsidP="00EA7FA1">
      <w:pPr>
        <w:jc w:val="both"/>
        <w:rPr>
          <w:rFonts w:ascii="Amalia" w:hAnsi="Amalia"/>
          <w:sz w:val="24"/>
          <w:szCs w:val="24"/>
          <w:shd w:val="clear" w:color="auto" w:fill="FFFFFF"/>
        </w:rPr>
      </w:pPr>
      <w:r>
        <w:rPr>
          <w:rFonts w:ascii="Amalia" w:hAnsi="Amalia"/>
          <w:sz w:val="24"/>
          <w:szCs w:val="24"/>
        </w:rPr>
        <w:t xml:space="preserve">Даний пункт </w:t>
      </w:r>
      <w:r w:rsidR="00EA7FA1" w:rsidRPr="005B3C58">
        <w:rPr>
          <w:rFonts w:ascii="Amalia" w:hAnsi="Amalia"/>
          <w:sz w:val="24"/>
          <w:szCs w:val="24"/>
        </w:rPr>
        <w:t xml:space="preserve">розповсюджується також на видачу готівкової іноземної валюти на відрядження за кордон. </w:t>
      </w:r>
      <w:r w:rsidR="00EA7FA1" w:rsidRPr="005B3C58">
        <w:rPr>
          <w:rFonts w:ascii="Amalia" w:hAnsi="Amalia"/>
          <w:sz w:val="24"/>
          <w:szCs w:val="24"/>
          <w:shd w:val="clear" w:color="auto" w:fill="FFFFFF"/>
        </w:rPr>
        <w:t xml:space="preserve"> </w:t>
      </w:r>
    </w:p>
    <w:p w14:paraId="4D23AD20" w14:textId="3330B6FD" w:rsidR="00EA7FA1" w:rsidRPr="009F14FD" w:rsidRDefault="00EA7FA1" w:rsidP="00C912BA">
      <w:pPr>
        <w:jc w:val="both"/>
        <w:rPr>
          <w:rFonts w:ascii="Amalia" w:hAnsi="Amalia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Забезпечення виконання мобілізаційного завдання має підтверджуватись договором, який відповідає </w:t>
      </w:r>
      <w:r w:rsidRPr="005B3C58">
        <w:rPr>
          <w:rFonts w:ascii="Amalia" w:hAnsi="Amalia"/>
          <w:color w:val="000000"/>
          <w:sz w:val="24"/>
          <w:szCs w:val="24"/>
          <w:shd w:val="clear" w:color="auto" w:fill="FFFFFF"/>
        </w:rPr>
        <w:t>Наказу Міністерства економіки та з питань європейської інтеграції від   14.06.2002 N178 «</w:t>
      </w:r>
      <w:r w:rsidRPr="005B3C58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Про затвердження типової форми договору (контракту) про   виконання мобілізаційного завдання щодо створення,  утримання і підготовки до розгортання спеціального формування, призначеного для передачі до складу Збройних Сил та інших військових формувань під час мобілізації</w:t>
      </w:r>
      <w:r w:rsidR="009F14FD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»:</w:t>
      </w:r>
    </w:p>
    <w:p w14:paraId="6CB583EF" w14:textId="77777777" w:rsidR="00EA7FA1" w:rsidRPr="005B3C58" w:rsidRDefault="00B91956" w:rsidP="00EA7FA1">
      <w:pPr>
        <w:jc w:val="both"/>
        <w:rPr>
          <w:rFonts w:ascii="Amalia" w:hAnsi="Amalia"/>
          <w:sz w:val="24"/>
          <w:szCs w:val="24"/>
        </w:rPr>
      </w:pPr>
      <w:hyperlink r:id="rId8" w:history="1">
        <w:r w:rsidR="00EA7FA1" w:rsidRPr="005B3C58">
          <w:rPr>
            <w:rStyle w:val="a8"/>
            <w:rFonts w:ascii="Amalia" w:hAnsi="Amalia"/>
            <w:sz w:val="24"/>
            <w:szCs w:val="24"/>
          </w:rPr>
          <w:t>https://zakon.rada.gov.ua/laws/show/z0557-02#Text</w:t>
        </w:r>
      </w:hyperlink>
    </w:p>
    <w:p w14:paraId="3DDA919B" w14:textId="74749396" w:rsidR="00B2695C" w:rsidRPr="0018105C" w:rsidRDefault="004D19F6" w:rsidP="0018105C">
      <w:pPr>
        <w:pStyle w:val="ac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malia" w:hAnsi="Amalia"/>
          <w:color w:val="000000"/>
          <w:sz w:val="24"/>
          <w:shd w:val="clear" w:color="auto" w:fill="FFFFFF"/>
        </w:rPr>
      </w:pPr>
      <w:r>
        <w:rPr>
          <w:rFonts w:ascii="Amalia" w:hAnsi="Amalia"/>
          <w:b/>
          <w:sz w:val="24"/>
          <w:szCs w:val="24"/>
          <w:shd w:val="clear" w:color="auto" w:fill="FFFFFF"/>
        </w:rPr>
        <w:t>Недоступні</w:t>
      </w:r>
      <w:r w:rsidRPr="005B3C58">
        <w:rPr>
          <w:rFonts w:ascii="Amalia" w:hAnsi="Amalia"/>
          <w:b/>
          <w:sz w:val="24"/>
          <w:szCs w:val="24"/>
          <w:shd w:val="clear" w:color="auto" w:fill="FFFFFF"/>
        </w:rPr>
        <w:t xml:space="preserve"> </w:t>
      </w:r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>операції з продажу/обміну банками клієнтам готівкової/ безготівкової іноземної валюти на будь</w:t>
      </w:r>
      <w:r w:rsidR="00F4444B">
        <w:rPr>
          <w:rFonts w:ascii="Amalia" w:hAnsi="Amalia"/>
          <w:b/>
          <w:sz w:val="24"/>
          <w:szCs w:val="24"/>
          <w:shd w:val="clear" w:color="auto" w:fill="FFFFFF"/>
        </w:rPr>
        <w:t>-</w:t>
      </w:r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>яких умовах (</w:t>
      </w:r>
      <w:proofErr w:type="spellStart"/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>тод</w:t>
      </w:r>
      <w:proofErr w:type="spellEnd"/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 xml:space="preserve">, том, </w:t>
      </w:r>
      <w:proofErr w:type="spellStart"/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>спот</w:t>
      </w:r>
      <w:proofErr w:type="spellEnd"/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 xml:space="preserve">, форвард, </w:t>
      </w:r>
      <w:proofErr w:type="spellStart"/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>своп</w:t>
      </w:r>
      <w:proofErr w:type="spellEnd"/>
      <w:r w:rsidR="00EA7FA1" w:rsidRPr="005B3C58">
        <w:rPr>
          <w:rFonts w:ascii="Amalia" w:hAnsi="Amalia"/>
          <w:b/>
          <w:sz w:val="24"/>
          <w:szCs w:val="24"/>
          <w:shd w:val="clear" w:color="auto" w:fill="FFFFFF"/>
        </w:rPr>
        <w:t xml:space="preserve">). Дозволеними залишаються виключно операції з купівлі банками у клієнтів готівкової/безготівкової іноземної валюти. </w:t>
      </w:r>
    </w:p>
    <w:p w14:paraId="1ECBF76B" w14:textId="77777777" w:rsidR="009F14FD" w:rsidRDefault="009F14FD" w:rsidP="00EA7FA1">
      <w:pPr>
        <w:ind w:left="360" w:firstLine="348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</w:p>
    <w:p w14:paraId="079D4EEB" w14:textId="29690310" w:rsidR="008D05DC" w:rsidRDefault="00EA7FA1" w:rsidP="0018105C">
      <w:pPr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Крім випадків, зокрема, </w:t>
      </w:r>
      <w:r w:rsidR="00D76D98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купівлі іноземно</w:t>
      </w:r>
      <w:r w:rsidR="007D4045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ї валюти клієнтами:</w:t>
      </w:r>
    </w:p>
    <w:p w14:paraId="65AC0A8C" w14:textId="212AA93A" w:rsidR="008D05DC" w:rsidRPr="00D669BB" w:rsidRDefault="00507415">
      <w:pPr>
        <w:pStyle w:val="ac"/>
        <w:numPr>
          <w:ilvl w:val="0"/>
          <w:numId w:val="19"/>
        </w:numPr>
        <w:ind w:left="567" w:hanging="425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з метою </w:t>
      </w:r>
      <w:r w:rsidR="00EA24EA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здійснення</w:t>
      </w: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EA24EA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валютних операцій </w:t>
      </w:r>
      <w:r w:rsidR="00EA7FA1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міжнародни</w:t>
      </w:r>
      <w:r w:rsidR="00EA24EA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х</w:t>
      </w:r>
      <w:r w:rsidR="00EA7FA1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 фінансови</w:t>
      </w:r>
      <w:r w:rsidR="00EA24EA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х</w:t>
      </w:r>
      <w:r w:rsidR="00EA7FA1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 організаці</w:t>
      </w:r>
      <w:r w:rsidR="00EA24EA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й (далі – МФО)</w:t>
      </w:r>
      <w:r w:rsidR="00EA7FA1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="00EA24EA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уключаючи представництва МФО, а також валютних операцій резидентів та нерезидентів з переказу коштів з метою розрахунків з МФО або з його представництвом</w:t>
      </w:r>
      <w:r w:rsidR="008D05DC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D0B7869" w14:textId="3A8CB015" w:rsidR="008D05DC" w:rsidRPr="00D669BB" w:rsidRDefault="00EA7FA1">
      <w:pPr>
        <w:pStyle w:val="ac"/>
        <w:numPr>
          <w:ilvl w:val="0"/>
          <w:numId w:val="19"/>
        </w:numPr>
        <w:ind w:left="567" w:hanging="425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імпортних операцій резидентів з купівлі товарів критичного імпорту за переліком, затвердженим Кабінетом Міністрів України (Додаток до Листа)</w:t>
      </w:r>
      <w:r w:rsidR="008D05DC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;</w:t>
      </w: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14:paraId="6C2B4B2A" w14:textId="77777777" w:rsidR="008D05DC" w:rsidRPr="00D669BB" w:rsidRDefault="008D05DC">
      <w:pPr>
        <w:pStyle w:val="ac"/>
        <w:numPr>
          <w:ilvl w:val="0"/>
          <w:numId w:val="19"/>
        </w:numPr>
        <w:ind w:left="567" w:hanging="425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lastRenderedPageBreak/>
        <w:t>валютних операцій резидентами та нерезидентами для проведення мобілізаційних та інших заходів (потреб), визначених законами України, що регулюють відносини у сферах забезпечення національної безпеки та оборони;</w:t>
      </w:r>
    </w:p>
    <w:p w14:paraId="1FD9B2C9" w14:textId="77777777" w:rsidR="008D05DC" w:rsidRPr="00D669BB" w:rsidRDefault="00EA7FA1">
      <w:pPr>
        <w:pStyle w:val="ac"/>
        <w:numPr>
          <w:ilvl w:val="0"/>
          <w:numId w:val="19"/>
        </w:numPr>
        <w:ind w:left="567" w:hanging="425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операцій з оплати витрат на лікування в медичних закладах іноземної держави, оплати витрат на транспортування хворих, оплати витрат, пов’язаних зі смертю громадян за кордоном (транспортні витрати та витрати на поховання)</w:t>
      </w:r>
      <w:r w:rsidR="008D05DC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DB0DAD1" w14:textId="0D005A2A" w:rsidR="00EA7FA1" w:rsidRPr="00D669BB" w:rsidRDefault="008D05DC">
      <w:pPr>
        <w:pStyle w:val="ac"/>
        <w:numPr>
          <w:ilvl w:val="0"/>
          <w:numId w:val="19"/>
        </w:numPr>
        <w:ind w:left="567" w:hanging="425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з метою переказів на користь дипломатичних представництв, консульських установ України за кордоном</w:t>
      </w:r>
      <w:r w:rsidR="00EA7FA1" w:rsidRPr="00D669BB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.  </w:t>
      </w:r>
    </w:p>
    <w:p w14:paraId="23818ACA" w14:textId="2B024864" w:rsidR="00EA7FA1" w:rsidRPr="005B3C58" w:rsidRDefault="00EA7FA1">
      <w:pPr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>Банки здійснюють операції з купівлі та продажу іноземної валюти за</w:t>
      </w:r>
      <w:r w:rsidR="00507415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5B3C58"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  <w:t xml:space="preserve">дорученням клієнтів: </w:t>
      </w:r>
    </w:p>
    <w:p w14:paraId="3BB61C35" w14:textId="68C37C9C" w:rsidR="00EA7FA1" w:rsidRPr="00557AC1" w:rsidRDefault="00EA7FA1">
      <w:pPr>
        <w:pStyle w:val="ac"/>
        <w:numPr>
          <w:ilvl w:val="0"/>
          <w:numId w:val="20"/>
        </w:numPr>
        <w:ind w:left="567" w:hanging="425"/>
        <w:jc w:val="both"/>
        <w:rPr>
          <w:rFonts w:ascii="Amalia" w:hAnsi="Amalia"/>
          <w:color w:val="000000"/>
          <w:sz w:val="24"/>
          <w:shd w:val="clear" w:color="auto" w:fill="FFFFFF"/>
        </w:rPr>
      </w:pPr>
      <w:r w:rsidRPr="0018105C">
        <w:rPr>
          <w:rFonts w:ascii="Amalia" w:hAnsi="Amalia"/>
          <w:b/>
          <w:color w:val="000000"/>
          <w:sz w:val="24"/>
          <w:shd w:val="clear" w:color="auto" w:fill="FFFFFF"/>
        </w:rPr>
        <w:t>в доларах США</w:t>
      </w:r>
      <w:r w:rsidRPr="0018105C">
        <w:rPr>
          <w:rFonts w:ascii="Amalia" w:hAnsi="Amalia"/>
          <w:color w:val="000000"/>
          <w:sz w:val="24"/>
          <w:shd w:val="clear" w:color="auto" w:fill="FFFFFF"/>
        </w:rPr>
        <w:t xml:space="preserve"> – за офіційним курсом Національного банку України, </w:t>
      </w:r>
      <w:r w:rsidR="00507415" w:rsidRPr="00557AC1">
        <w:rPr>
          <w:rFonts w:ascii="Amalia" w:hAnsi="Amalia"/>
          <w:color w:val="000000"/>
          <w:sz w:val="24"/>
          <w:shd w:val="clear" w:color="auto" w:fill="FFFFFF"/>
        </w:rPr>
        <w:t>який діє в день здійснення операції;</w:t>
      </w:r>
    </w:p>
    <w:p w14:paraId="5464F944" w14:textId="1FA98E07" w:rsidR="00EA7FA1" w:rsidRDefault="00EA7FA1" w:rsidP="009F14FD">
      <w:pPr>
        <w:pStyle w:val="ac"/>
        <w:numPr>
          <w:ilvl w:val="0"/>
          <w:numId w:val="20"/>
        </w:numPr>
        <w:ind w:left="567" w:hanging="425"/>
        <w:jc w:val="both"/>
        <w:rPr>
          <w:rFonts w:ascii="Amalia" w:hAnsi="Amalia"/>
          <w:color w:val="000000"/>
          <w:sz w:val="24"/>
          <w:szCs w:val="24"/>
          <w:shd w:val="clear" w:color="auto" w:fill="FFFFFF"/>
          <w:lang w:eastAsia="uk-UA"/>
        </w:rPr>
      </w:pPr>
      <w:r w:rsidRPr="00557AC1">
        <w:rPr>
          <w:rFonts w:ascii="Amalia" w:hAnsi="Amalia"/>
          <w:b/>
          <w:color w:val="000000"/>
          <w:sz w:val="24"/>
          <w:shd w:val="clear" w:color="auto" w:fill="FFFFFF"/>
        </w:rPr>
        <w:t>в інших іноземних валютах</w:t>
      </w:r>
      <w:r w:rsidRPr="00557AC1">
        <w:rPr>
          <w:rFonts w:ascii="Amalia" w:hAnsi="Amalia"/>
          <w:color w:val="000000"/>
          <w:sz w:val="24"/>
          <w:shd w:val="clear" w:color="auto" w:fill="FFFFFF"/>
        </w:rPr>
        <w:t xml:space="preserve"> – за курсом, який визначається на підставі офіційного курсу гривні до долара США, </w:t>
      </w:r>
      <w:r w:rsidR="00507415" w:rsidRPr="00557AC1">
        <w:rPr>
          <w:rFonts w:ascii="Amalia" w:hAnsi="Amalia"/>
          <w:color w:val="000000"/>
          <w:sz w:val="24"/>
          <w:shd w:val="clear" w:color="auto" w:fill="FFFFFF"/>
        </w:rPr>
        <w:t xml:space="preserve">що діє в день здійснення операції, а також інформації про поточні курси іноземних валют до долара США </w:t>
      </w:r>
      <w:r w:rsidRPr="00557AC1">
        <w:rPr>
          <w:rFonts w:ascii="Amalia" w:hAnsi="Amalia"/>
          <w:color w:val="000000"/>
          <w:sz w:val="24"/>
          <w:shd w:val="clear" w:color="auto" w:fill="FFFFFF"/>
        </w:rPr>
        <w:t xml:space="preserve">(або долара США до іноземних валют) на міжнародних валютних ринках, які отримуються через </w:t>
      </w:r>
      <w:proofErr w:type="spellStart"/>
      <w:r w:rsidR="00507415" w:rsidRPr="00557AC1">
        <w:rPr>
          <w:rFonts w:ascii="Amalia" w:hAnsi="Amalia"/>
          <w:color w:val="000000"/>
          <w:sz w:val="24"/>
          <w:shd w:val="clear" w:color="auto" w:fill="FFFFFF"/>
        </w:rPr>
        <w:t>торгівельно</w:t>
      </w:r>
      <w:proofErr w:type="spellEnd"/>
      <w:r w:rsidRPr="00557AC1">
        <w:rPr>
          <w:rFonts w:ascii="Amalia" w:hAnsi="Amalia"/>
          <w:color w:val="000000"/>
          <w:sz w:val="24"/>
          <w:shd w:val="clear" w:color="auto" w:fill="FFFFFF"/>
        </w:rPr>
        <w:t>-інформаційні системи на момент здійснення операції.</w:t>
      </w:r>
    </w:p>
    <w:p w14:paraId="46BA690D" w14:textId="77777777" w:rsidR="009F14FD" w:rsidRPr="0018105C" w:rsidRDefault="009F14FD" w:rsidP="0018105C">
      <w:pPr>
        <w:pStyle w:val="ac"/>
        <w:ind w:left="567"/>
        <w:jc w:val="both"/>
        <w:rPr>
          <w:rFonts w:ascii="Amalia" w:hAnsi="Amalia"/>
          <w:color w:val="000000"/>
          <w:sz w:val="24"/>
          <w:shd w:val="clear" w:color="auto" w:fill="FFFFFF"/>
        </w:rPr>
      </w:pPr>
    </w:p>
    <w:p w14:paraId="74C4C985" w14:textId="24BC5657" w:rsidR="00EA24EA" w:rsidRDefault="00EA24EA" w:rsidP="00EA24EA">
      <w:pPr>
        <w:pStyle w:val="ac"/>
        <w:numPr>
          <w:ilvl w:val="0"/>
          <w:numId w:val="16"/>
        </w:numPr>
        <w:jc w:val="both"/>
        <w:rPr>
          <w:rFonts w:ascii="Amalia" w:hAnsi="Amalia"/>
          <w:b/>
          <w:color w:val="000000"/>
          <w:sz w:val="24"/>
          <w:szCs w:val="24"/>
          <w:shd w:val="clear" w:color="auto" w:fill="FFFFFF"/>
          <w:lang w:eastAsia="uk-UA"/>
        </w:rPr>
      </w:pPr>
      <w:r w:rsidRPr="00EA24EA">
        <w:rPr>
          <w:rFonts w:ascii="Amalia" w:hAnsi="Amalia"/>
          <w:b/>
          <w:color w:val="000000"/>
          <w:sz w:val="24"/>
          <w:szCs w:val="24"/>
          <w:shd w:val="clear" w:color="auto" w:fill="FFFFFF"/>
          <w:lang w:eastAsia="uk-UA"/>
        </w:rPr>
        <w:t>Зафіксувати офіційний курс гривні до іноземних валют, офіційний курс гривні до спеціальних прав запозичення, а також розрахункову ціну банківських металів на рівнях</w:t>
      </w:r>
      <w:r w:rsidR="008D05DC">
        <w:rPr>
          <w:rFonts w:ascii="Amalia" w:hAnsi="Amalia"/>
          <w:b/>
          <w:color w:val="000000"/>
          <w:sz w:val="24"/>
          <w:szCs w:val="24"/>
          <w:shd w:val="clear" w:color="auto" w:fill="FFFFFF"/>
          <w:lang w:eastAsia="uk-UA"/>
        </w:rPr>
        <w:t xml:space="preserve">, на яких </w:t>
      </w:r>
      <w:r w:rsidR="00D669BB">
        <w:rPr>
          <w:rFonts w:ascii="Amalia" w:hAnsi="Amalia"/>
          <w:b/>
          <w:color w:val="000000"/>
          <w:sz w:val="24"/>
          <w:szCs w:val="24"/>
          <w:shd w:val="clear" w:color="auto" w:fill="FFFFFF"/>
          <w:lang w:eastAsia="uk-UA"/>
        </w:rPr>
        <w:t>вони діяли 24 лютого 2022 року</w:t>
      </w:r>
      <w:r w:rsidRPr="00EA24EA">
        <w:rPr>
          <w:rFonts w:ascii="Amalia" w:hAnsi="Amalia"/>
          <w:b/>
          <w:color w:val="000000"/>
          <w:sz w:val="24"/>
          <w:szCs w:val="24"/>
          <w:shd w:val="clear" w:color="auto" w:fill="FFFFFF"/>
          <w:lang w:eastAsia="uk-UA"/>
        </w:rPr>
        <w:t xml:space="preserve">. </w:t>
      </w:r>
    </w:p>
    <w:p w14:paraId="76AA7086" w14:textId="77777777" w:rsidR="00D669BB" w:rsidRPr="00D669BB" w:rsidRDefault="00D669BB" w:rsidP="00D669BB">
      <w:pPr>
        <w:spacing w:after="0" w:line="240" w:lineRule="auto"/>
        <w:ind w:left="360"/>
        <w:rPr>
          <w:rFonts w:ascii="Amalia" w:hAnsi="Amalia"/>
          <w:b/>
          <w:sz w:val="24"/>
          <w:szCs w:val="24"/>
          <w:shd w:val="clear" w:color="auto" w:fill="FFFFFF"/>
          <w:lang w:eastAsia="uk-UA"/>
        </w:rPr>
      </w:pPr>
    </w:p>
    <w:p w14:paraId="7469458B" w14:textId="374EDD0D" w:rsidR="00EA7FA1" w:rsidRPr="005B3C58" w:rsidRDefault="004D19F6" w:rsidP="00EA7FA1">
      <w:pPr>
        <w:pStyle w:val="ac"/>
        <w:numPr>
          <w:ilvl w:val="0"/>
          <w:numId w:val="16"/>
        </w:numPr>
        <w:spacing w:after="0" w:line="240" w:lineRule="auto"/>
        <w:contextualSpacing w:val="0"/>
        <w:rPr>
          <w:rFonts w:ascii="Amalia" w:hAnsi="Amalia"/>
          <w:b/>
          <w:sz w:val="24"/>
          <w:szCs w:val="24"/>
          <w:shd w:val="clear" w:color="auto" w:fill="FFFFFF"/>
          <w:lang w:eastAsia="uk-UA"/>
        </w:rPr>
      </w:pPr>
      <w:r>
        <w:rPr>
          <w:rFonts w:ascii="Amalia" w:hAnsi="Amalia"/>
          <w:b/>
          <w:sz w:val="24"/>
          <w:szCs w:val="24"/>
        </w:rPr>
        <w:t>Недоступні</w:t>
      </w:r>
      <w:r w:rsidRPr="005B3C58">
        <w:rPr>
          <w:rFonts w:ascii="Amalia" w:hAnsi="Amalia"/>
          <w:b/>
          <w:sz w:val="24"/>
          <w:szCs w:val="24"/>
        </w:rPr>
        <w:t xml:space="preserve"> </w:t>
      </w:r>
      <w:r w:rsidR="00EA7FA1" w:rsidRPr="005B3C58">
        <w:rPr>
          <w:rFonts w:ascii="Amalia" w:hAnsi="Amalia"/>
          <w:b/>
          <w:sz w:val="24"/>
          <w:szCs w:val="24"/>
        </w:rPr>
        <w:t xml:space="preserve">вихідні перекази клієнтів в іноземній та національній валюті за межі України. </w:t>
      </w:r>
    </w:p>
    <w:p w14:paraId="059DE4F4" w14:textId="77777777" w:rsidR="00EA7FA1" w:rsidRPr="005B3C58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>Крім випадків здійснення:</w:t>
      </w:r>
    </w:p>
    <w:p w14:paraId="1E75679C" w14:textId="77777777" w:rsidR="00A14E6B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 xml:space="preserve">1) власних операцій банків, уключаючи розрахунки з міжнародними платіжними системами; </w:t>
      </w:r>
    </w:p>
    <w:p w14:paraId="15651712" w14:textId="4502FB74" w:rsidR="00EA7FA1" w:rsidRPr="005B3C58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 xml:space="preserve">2) </w:t>
      </w:r>
      <w:r w:rsidRPr="005B3C58">
        <w:rPr>
          <w:rFonts w:ascii="Amalia" w:hAnsi="Amalia"/>
          <w:b/>
          <w:sz w:val="24"/>
          <w:szCs w:val="24"/>
        </w:rPr>
        <w:t>імпортних операцій резидентів з купівлі товарів критичного імпорту за переліком, затвердженим Кабінетом Міністрів України</w:t>
      </w:r>
      <w:r w:rsidRPr="005B3C58">
        <w:rPr>
          <w:rFonts w:ascii="Amalia" w:hAnsi="Amalia"/>
          <w:sz w:val="24"/>
          <w:szCs w:val="24"/>
        </w:rPr>
        <w:t xml:space="preserve">; </w:t>
      </w:r>
    </w:p>
    <w:p w14:paraId="6232CA61" w14:textId="77777777" w:rsidR="00EA7FA1" w:rsidRPr="005B3C58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 xml:space="preserve">3) валютних операцій МФО, уключаючи представництва МФО, а також валютних операцій резидентів та нерезидентів з переказу коштів в іноземній/національній валюті з метою розрахунків з МФО або з його представництвом; </w:t>
      </w:r>
    </w:p>
    <w:p w14:paraId="06835162" w14:textId="77777777" w:rsidR="00A14E6B" w:rsidRDefault="00EA7FA1" w:rsidP="0018105C">
      <w:pPr>
        <w:spacing w:after="0"/>
        <w:ind w:left="360"/>
        <w:rPr>
          <w:rFonts w:ascii="Amalia" w:hAnsi="Amalia"/>
          <w:i/>
          <w:color w:val="000000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sz w:val="24"/>
          <w:szCs w:val="24"/>
        </w:rPr>
        <w:t xml:space="preserve">4) валютних операцій резидентами та нерезидентами для проведення мобілізаційних та інших заходів (потреб), визначених законами України, що регулюють відносини у сферах забезпечення національної безпеки та оборони - </w:t>
      </w:r>
      <w:r w:rsidRPr="005B3C58">
        <w:rPr>
          <w:rFonts w:ascii="Amalia" w:hAnsi="Amalia"/>
          <w:i/>
          <w:color w:val="000000"/>
          <w:sz w:val="24"/>
          <w:szCs w:val="24"/>
          <w:shd w:val="clear" w:color="auto" w:fill="FFFFFF"/>
          <w:lang w:eastAsia="uk-UA"/>
        </w:rPr>
        <w:t xml:space="preserve">забезпечення виконання мобілізаційного завдання, що має підтверджуватись договором, який відповідає </w:t>
      </w:r>
      <w:r w:rsidRPr="005B3C58">
        <w:rPr>
          <w:rFonts w:ascii="Amalia" w:hAnsi="Amalia"/>
          <w:i/>
          <w:color w:val="000000"/>
          <w:sz w:val="24"/>
          <w:szCs w:val="24"/>
          <w:shd w:val="clear" w:color="auto" w:fill="FFFFFF"/>
        </w:rPr>
        <w:t>Наказу Міністерства економіки та з питань європейської інтеграції від   14.06.2002 N 178 «</w:t>
      </w:r>
      <w:r w:rsidRPr="005B3C58">
        <w:rPr>
          <w:rFonts w:ascii="Amalia" w:hAnsi="Amalia"/>
          <w:i/>
          <w:color w:val="000000"/>
          <w:sz w:val="24"/>
          <w:szCs w:val="24"/>
          <w:shd w:val="clear" w:color="auto" w:fill="FFFFFF"/>
          <w:lang w:eastAsia="uk-UA"/>
        </w:rPr>
        <w:t>Про затвердження типової форми договору (контракту) про   виконання мобілізаційного завдання щодо створення,  утримання і підготовки до розгортання спеціального формування, призначеного для передачі до складу Збройних Сил та</w:t>
      </w:r>
    </w:p>
    <w:p w14:paraId="518AD7F5" w14:textId="751E3D55" w:rsidR="00EA7FA1" w:rsidRPr="005B3C58" w:rsidRDefault="00EA7FA1">
      <w:pPr>
        <w:spacing w:after="0"/>
        <w:ind w:left="360"/>
        <w:rPr>
          <w:rFonts w:ascii="Amalia" w:hAnsi="Amalia"/>
          <w:i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i/>
          <w:color w:val="000000"/>
          <w:sz w:val="24"/>
          <w:szCs w:val="24"/>
          <w:shd w:val="clear" w:color="auto" w:fill="FFFFFF"/>
          <w:lang w:eastAsia="uk-UA"/>
        </w:rPr>
        <w:t xml:space="preserve"> інших військових формувань під час мобілізації</w:t>
      </w:r>
      <w:r w:rsidR="009F14FD">
        <w:rPr>
          <w:rFonts w:ascii="Amalia" w:hAnsi="Amalia"/>
          <w:i/>
          <w:color w:val="000000"/>
          <w:sz w:val="24"/>
          <w:szCs w:val="24"/>
          <w:shd w:val="clear" w:color="auto" w:fill="FFFFFF"/>
          <w:lang w:eastAsia="uk-UA"/>
        </w:rPr>
        <w:t>»:</w:t>
      </w:r>
    </w:p>
    <w:p w14:paraId="568BC159" w14:textId="77777777" w:rsidR="00EA7FA1" w:rsidRPr="005B3C58" w:rsidRDefault="00B91956">
      <w:pPr>
        <w:ind w:left="426"/>
        <w:rPr>
          <w:rFonts w:ascii="Amalia" w:hAnsi="Amalia"/>
          <w:sz w:val="24"/>
          <w:szCs w:val="24"/>
        </w:rPr>
      </w:pPr>
      <w:hyperlink r:id="rId9" w:history="1">
        <w:r w:rsidR="00EA7FA1" w:rsidRPr="005B3C58">
          <w:rPr>
            <w:rStyle w:val="a8"/>
            <w:rFonts w:ascii="Amalia" w:hAnsi="Amalia"/>
            <w:sz w:val="24"/>
            <w:szCs w:val="24"/>
          </w:rPr>
          <w:t>https://zakon.rada.gov.ua/laws/show/z0557-02#Text</w:t>
        </w:r>
      </w:hyperlink>
      <w:r w:rsidR="00EA7FA1" w:rsidRPr="005B3C58">
        <w:rPr>
          <w:rFonts w:ascii="Amalia" w:hAnsi="Amalia"/>
          <w:sz w:val="24"/>
          <w:szCs w:val="24"/>
        </w:rPr>
        <w:t xml:space="preserve">; </w:t>
      </w:r>
    </w:p>
    <w:p w14:paraId="4A854A06" w14:textId="77777777" w:rsidR="00EA7FA1" w:rsidRPr="005B3C58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 xml:space="preserve">5) операцій з оплати витрат на лікування в медичних закладах іноземної держави, оплати витрат на транспортування хворих, оплати витрат, пов’язаних зі смертю громадян за кордоном (транспортні витрати та витрати на поховання); </w:t>
      </w:r>
    </w:p>
    <w:p w14:paraId="56DC2156" w14:textId="77777777" w:rsidR="00D669BB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 xml:space="preserve">6) на підставі окремих дозволів (рішень) Національного банку України, що приймаються на підставі звернень Кабінету Міністрів України, міністерств та інших державних органів України; </w:t>
      </w:r>
    </w:p>
    <w:p w14:paraId="7675A816" w14:textId="4DBC963B" w:rsidR="00EA7FA1" w:rsidRPr="005B3C58" w:rsidRDefault="00EA7FA1" w:rsidP="00EA7FA1">
      <w:pPr>
        <w:ind w:left="360"/>
        <w:rPr>
          <w:rFonts w:ascii="Amalia" w:hAnsi="Amalia"/>
          <w:sz w:val="24"/>
          <w:szCs w:val="24"/>
        </w:rPr>
      </w:pPr>
      <w:r w:rsidRPr="005B3C58">
        <w:rPr>
          <w:rFonts w:ascii="Amalia" w:hAnsi="Amalia"/>
          <w:sz w:val="24"/>
          <w:szCs w:val="24"/>
        </w:rPr>
        <w:t>7) переказів на користь дипломатичних представництв, консульських установ України за кордоном».</w:t>
      </w:r>
    </w:p>
    <w:p w14:paraId="0FD0F506" w14:textId="77777777" w:rsidR="00EA7FA1" w:rsidRPr="005B3C58" w:rsidRDefault="00EA7FA1" w:rsidP="00EA7FA1">
      <w:pPr>
        <w:pStyle w:val="ac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eastAsia="uk-UA"/>
        </w:rPr>
        <w:t xml:space="preserve">  </w:t>
      </w:r>
      <w:r w:rsidRPr="005B3C58"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  <w:t>Банкам забороняється здійснювати будь-які валютні операції:</w:t>
      </w:r>
    </w:p>
    <w:p w14:paraId="5E548DFE" w14:textId="77777777" w:rsidR="00EA7FA1" w:rsidRPr="005B3C58" w:rsidRDefault="00EA7FA1" w:rsidP="00EA7FA1">
      <w:pPr>
        <w:pStyle w:val="ac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</w:p>
    <w:p w14:paraId="6CD8268F" w14:textId="4C45E07B" w:rsidR="00EA7FA1" w:rsidRDefault="00EA7FA1" w:rsidP="00D669BB">
      <w:pPr>
        <w:pStyle w:val="ac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malia" w:hAnsi="Amalia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eastAsia="uk-UA"/>
        </w:rPr>
        <w:t>з використанням російських рублів та білоруських рублів;</w:t>
      </w:r>
    </w:p>
    <w:p w14:paraId="2FC1A2FB" w14:textId="77777777" w:rsidR="007F2D53" w:rsidRPr="007F2D53" w:rsidRDefault="007F2D53" w:rsidP="007F2D53">
      <w:pPr>
        <w:pStyle w:val="ac"/>
        <w:spacing w:after="0" w:line="240" w:lineRule="auto"/>
        <w:contextualSpacing w:val="0"/>
        <w:jc w:val="both"/>
        <w:rPr>
          <w:rFonts w:ascii="Amalia" w:hAnsi="Amalia"/>
          <w:sz w:val="28"/>
          <w:szCs w:val="28"/>
          <w:shd w:val="clear" w:color="auto" w:fill="FFFFFF"/>
          <w:lang w:eastAsia="uk-UA"/>
        </w:rPr>
      </w:pPr>
    </w:p>
    <w:p w14:paraId="27084F03" w14:textId="272EDFA1" w:rsidR="007F2D53" w:rsidRPr="007F2D53" w:rsidRDefault="007F2D53" w:rsidP="007F2D53">
      <w:pPr>
        <w:pStyle w:val="xxmsonormal"/>
        <w:ind w:left="720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  <w:r w:rsidRPr="007F2D53">
        <w:rPr>
          <w:rFonts w:ascii="Amalia" w:hAnsi="Amalia"/>
          <w:sz w:val="24"/>
          <w:szCs w:val="24"/>
          <w:shd w:val="clear" w:color="auto" w:fill="FFFFFF"/>
          <w:lang w:val="uk-UA"/>
        </w:rPr>
        <w:t>Згідно постанови Правління НБУ №44 «Про внесення змін до постанови Правління Національного банку України» від 24 лютого 2022 року №18» дозволено, що у випадку надходження коштів із-за кордону в російських рублях або білоруських рублях за операціями з експорту та операцій з повернення коштів з імпорту товарів банк має право здійснити обмін цих коштів на міжнародному валютному ринку на іншу валюту (крім російських рублів/білоруських рублів) для її подальшого зарахування на рахунки клієнта.</w:t>
      </w:r>
    </w:p>
    <w:p w14:paraId="7B42532B" w14:textId="77777777" w:rsidR="007F2D53" w:rsidRPr="007F2D53" w:rsidRDefault="007F2D53" w:rsidP="007F2D53">
      <w:pPr>
        <w:pStyle w:val="ac"/>
        <w:spacing w:after="0" w:line="240" w:lineRule="auto"/>
        <w:contextualSpacing w:val="0"/>
        <w:jc w:val="both"/>
        <w:rPr>
          <w:rFonts w:ascii="Amalia" w:hAnsi="Amalia"/>
          <w:sz w:val="28"/>
          <w:szCs w:val="28"/>
          <w:shd w:val="clear" w:color="auto" w:fill="FFFFFF"/>
          <w:lang w:eastAsia="uk-UA"/>
        </w:rPr>
      </w:pPr>
    </w:p>
    <w:p w14:paraId="3B4C1B42" w14:textId="77777777" w:rsidR="00EA7FA1" w:rsidRPr="005B3C58" w:rsidRDefault="00EA7FA1" w:rsidP="00D669BB">
      <w:pPr>
        <w:pStyle w:val="ac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malia" w:hAnsi="Amalia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eastAsia="uk-UA"/>
        </w:rPr>
        <w:t>учасником яких є юридична або фізична особа, яка має місцезнаходження (зареєстрована/постійно проживає) в Російській Федерації або в Республіці Білорусь;</w:t>
      </w:r>
    </w:p>
    <w:p w14:paraId="71BE8E9C" w14:textId="77777777" w:rsidR="00EA7FA1" w:rsidRPr="005B3C58" w:rsidRDefault="00EA7FA1" w:rsidP="00D669BB">
      <w:pPr>
        <w:pStyle w:val="ac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malia" w:hAnsi="Amalia"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eastAsia="uk-UA"/>
        </w:rPr>
        <w:t>для виконання зобов’язань перед юридичними або фізичними особами, які мають місцезнаходження (зареєстрована/постійно проживає) в Російській Федерації або в Республіці Білорусь.</w:t>
      </w:r>
    </w:p>
    <w:p w14:paraId="3671FC7F" w14:textId="77777777" w:rsidR="00EA7FA1" w:rsidRPr="005B3C58" w:rsidRDefault="00EA7FA1" w:rsidP="00EA7FA1">
      <w:pPr>
        <w:pStyle w:val="ac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  <w:t xml:space="preserve"> </w:t>
      </w:r>
    </w:p>
    <w:p w14:paraId="4DF0577F" w14:textId="61C2F76B" w:rsidR="00EA7FA1" w:rsidRDefault="00EA7FA1" w:rsidP="00EA7FA1">
      <w:pPr>
        <w:pStyle w:val="ac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  <w:r w:rsidRPr="005B3C58"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  <w:t xml:space="preserve"> Банки мають право здійснювати продаж клієнтам іноземної валюти для виконання цими клієнтами власних зобов’язань за кредитними договорами (уключаючи відсотки) перед банками.</w:t>
      </w:r>
    </w:p>
    <w:p w14:paraId="0F9AA20F" w14:textId="6EEC09FB" w:rsidR="007F2D53" w:rsidRDefault="007F2D53" w:rsidP="007F2D53">
      <w:pPr>
        <w:pStyle w:val="ac"/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</w:p>
    <w:p w14:paraId="7047D1E6" w14:textId="0E4C69B5" w:rsidR="007F2D53" w:rsidRDefault="007F2D53" w:rsidP="007F2D53">
      <w:pPr>
        <w:pStyle w:val="ac"/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</w:p>
    <w:p w14:paraId="247FEFB1" w14:textId="77777777" w:rsidR="007F2D53" w:rsidRDefault="007F2D53" w:rsidP="007F2D53">
      <w:pPr>
        <w:pStyle w:val="ac"/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</w:p>
    <w:p w14:paraId="08DEABC3" w14:textId="77777777" w:rsidR="007F2D53" w:rsidRPr="007F2D53" w:rsidRDefault="007F2D53" w:rsidP="006953B4">
      <w:pPr>
        <w:pStyle w:val="xxmsonormal"/>
        <w:ind w:left="426"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  <w:r w:rsidRPr="007F2D53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Доводимо до Вашого відома, що 08 березня 2022 року набрала чинності Постанова Правління НБУ №44 «Про внесення змін до постанови Правління Національного банку України» від 24 лютого 2022 року №18». </w:t>
      </w:r>
    </w:p>
    <w:p w14:paraId="61701548" w14:textId="77777777" w:rsidR="007F2D53" w:rsidRPr="007F2D53" w:rsidRDefault="007F2D53" w:rsidP="007F2D53">
      <w:pPr>
        <w:pStyle w:val="xxmsonormal"/>
        <w:ind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</w:p>
    <w:p w14:paraId="23ED42E6" w14:textId="77777777" w:rsidR="007F2D53" w:rsidRPr="007F2D53" w:rsidRDefault="007F2D53" w:rsidP="007F2D53">
      <w:pPr>
        <w:pStyle w:val="xxmsonormal"/>
        <w:ind w:firstLine="708"/>
        <w:jc w:val="both"/>
        <w:rPr>
          <w:rFonts w:ascii="Amalia" w:hAnsi="Amalia"/>
          <w:sz w:val="24"/>
          <w:szCs w:val="24"/>
          <w:shd w:val="clear" w:color="auto" w:fill="FFFFFF"/>
          <w:lang w:val="uk-UA"/>
        </w:rPr>
      </w:pPr>
      <w:r w:rsidRPr="007F2D53">
        <w:rPr>
          <w:rFonts w:ascii="Amalia" w:hAnsi="Amalia"/>
          <w:sz w:val="24"/>
          <w:szCs w:val="24"/>
          <w:shd w:val="clear" w:color="auto" w:fill="FFFFFF"/>
          <w:lang w:val="uk-UA"/>
        </w:rPr>
        <w:t>У зв</w:t>
      </w:r>
      <w:r w:rsidRPr="007F2D53">
        <w:rPr>
          <w:rFonts w:ascii="Amalia" w:hAnsi="Amalia"/>
          <w:sz w:val="24"/>
          <w:szCs w:val="24"/>
          <w:shd w:val="clear" w:color="auto" w:fill="FFFFFF"/>
        </w:rPr>
        <w:t>’</w:t>
      </w:r>
      <w:proofErr w:type="spellStart"/>
      <w:r w:rsidRPr="007F2D53">
        <w:rPr>
          <w:rFonts w:ascii="Amalia" w:hAnsi="Amalia"/>
          <w:sz w:val="24"/>
          <w:szCs w:val="24"/>
          <w:shd w:val="clear" w:color="auto" w:fill="FFFFFF"/>
          <w:lang w:val="uk-UA"/>
        </w:rPr>
        <w:t>язку</w:t>
      </w:r>
      <w:proofErr w:type="spellEnd"/>
      <w:r w:rsidRPr="007F2D53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 з чим, послаблені низка обмежень на валютному ринку, а саме:</w:t>
      </w:r>
    </w:p>
    <w:p w14:paraId="20F1CEE9" w14:textId="77777777" w:rsidR="007F2D53" w:rsidRDefault="007F2D53" w:rsidP="007F2D53">
      <w:pPr>
        <w:pStyle w:val="ac"/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</w:p>
    <w:p w14:paraId="10699296" w14:textId="77777777" w:rsidR="007F2D53" w:rsidRPr="007F2D53" w:rsidRDefault="007F2D53" w:rsidP="007F2D53">
      <w:pPr>
        <w:pStyle w:val="ac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malia" w:hAnsi="Amalia"/>
          <w:sz w:val="24"/>
          <w:szCs w:val="24"/>
        </w:rPr>
      </w:pPr>
      <w:r w:rsidRPr="007F2D53">
        <w:rPr>
          <w:rFonts w:ascii="Amalia" w:hAnsi="Amalia"/>
          <w:b/>
          <w:sz w:val="24"/>
          <w:szCs w:val="24"/>
          <w:shd w:val="clear" w:color="auto" w:fill="FFFFFF"/>
        </w:rPr>
        <w:t xml:space="preserve">Розширена можливість для резидентів та нерезидентів здійснювати перекази на рахунки благодійних фондів </w:t>
      </w:r>
      <w:r w:rsidRPr="007F2D53">
        <w:rPr>
          <w:rFonts w:ascii="Amalia" w:hAnsi="Amalia"/>
          <w:sz w:val="24"/>
          <w:szCs w:val="24"/>
          <w:shd w:val="clear" w:color="auto" w:fill="FFFFFF"/>
        </w:rPr>
        <w:t>не тільки в гривнях,</w:t>
      </w:r>
      <w:r w:rsidRPr="007F2D53">
        <w:rPr>
          <w:rFonts w:ascii="Amalia" w:hAnsi="Amalia"/>
          <w:b/>
          <w:sz w:val="24"/>
          <w:szCs w:val="24"/>
          <w:shd w:val="clear" w:color="auto" w:fill="FFFFFF"/>
        </w:rPr>
        <w:t xml:space="preserve"> </w:t>
      </w:r>
      <w:r w:rsidRPr="007F2D53">
        <w:rPr>
          <w:rStyle w:val="a8"/>
          <w:rFonts w:ascii="Amalia" w:hAnsi="Amalia"/>
          <w:color w:val="auto"/>
          <w:sz w:val="24"/>
          <w:szCs w:val="24"/>
          <w:u w:val="none"/>
        </w:rPr>
        <w:t xml:space="preserve">а й </w:t>
      </w:r>
      <w:r w:rsidRPr="007F2D53">
        <w:rPr>
          <w:rStyle w:val="a8"/>
          <w:rFonts w:ascii="Amalia" w:hAnsi="Amalia"/>
          <w:b/>
          <w:bCs/>
          <w:color w:val="auto"/>
          <w:sz w:val="24"/>
          <w:szCs w:val="24"/>
          <w:u w:val="none"/>
        </w:rPr>
        <w:t>в іноземній валюті на території України</w:t>
      </w:r>
      <w:r w:rsidRPr="007F2D53">
        <w:rPr>
          <w:rStyle w:val="a8"/>
          <w:rFonts w:ascii="Amalia" w:hAnsi="Amalia"/>
          <w:color w:val="auto"/>
          <w:sz w:val="24"/>
          <w:szCs w:val="24"/>
          <w:u w:val="none"/>
        </w:rPr>
        <w:t>. Це стосується благодійних фондів, цілями та сферами благодійної діяльності яких є сприяння обороноздатності та мобілізаційній готовності країни, підтримка Збройних Сил України, територіальна оборона України, соціальний захист, охорона здоров’я та інші нагальні питання захисту населення в умовах воєнного стану.</w:t>
      </w:r>
      <w:r w:rsidRPr="007F2D53">
        <w:rPr>
          <w:rFonts w:ascii="Amalia" w:hAnsi="Amalia"/>
          <w:b/>
          <w:sz w:val="24"/>
          <w:szCs w:val="24"/>
        </w:rPr>
        <w:t xml:space="preserve"> </w:t>
      </w:r>
    </w:p>
    <w:p w14:paraId="3D2941C9" w14:textId="77777777" w:rsidR="007F2D53" w:rsidRPr="007F2D53" w:rsidRDefault="007F2D53" w:rsidP="007F2D53">
      <w:pPr>
        <w:ind w:left="360"/>
        <w:jc w:val="both"/>
        <w:rPr>
          <w:rFonts w:ascii="Amalia" w:hAnsi="Amalia"/>
          <w:sz w:val="24"/>
          <w:szCs w:val="24"/>
        </w:rPr>
      </w:pPr>
    </w:p>
    <w:p w14:paraId="72CD85D2" w14:textId="77777777" w:rsidR="007F2D53" w:rsidRPr="007F2D53" w:rsidRDefault="007F2D53" w:rsidP="007F2D53">
      <w:pPr>
        <w:pStyle w:val="ac"/>
        <w:jc w:val="both"/>
        <w:rPr>
          <w:rFonts w:ascii="Amalia" w:hAnsi="Amalia"/>
          <w:sz w:val="24"/>
          <w:szCs w:val="24"/>
        </w:rPr>
      </w:pPr>
      <w:r w:rsidRPr="007F2D53">
        <w:rPr>
          <w:rFonts w:ascii="Amalia" w:hAnsi="Amalia"/>
          <w:sz w:val="24"/>
          <w:szCs w:val="24"/>
        </w:rPr>
        <w:t>Раніше, були дозволені такі операції лише на спеціальний рахунок Національного банку України для збору коштів на підтримку Збройних Сил України та/або на рахунки Кабінету Міністрів України, міністерств та інших державних органів України.</w:t>
      </w:r>
    </w:p>
    <w:p w14:paraId="5193C645" w14:textId="77777777" w:rsidR="007F2D53" w:rsidRPr="007F2D53" w:rsidRDefault="007F2D53" w:rsidP="007F2D53">
      <w:pPr>
        <w:jc w:val="both"/>
        <w:rPr>
          <w:rFonts w:ascii="Amalia" w:hAnsi="Amalia"/>
          <w:b/>
          <w:sz w:val="24"/>
          <w:szCs w:val="24"/>
          <w:shd w:val="clear" w:color="auto" w:fill="FFFFFF"/>
        </w:rPr>
      </w:pPr>
    </w:p>
    <w:p w14:paraId="0D01D2B1" w14:textId="7768A4C7" w:rsidR="00D669BB" w:rsidRPr="007F2D53" w:rsidRDefault="007F2D53" w:rsidP="003F22ED">
      <w:pPr>
        <w:pStyle w:val="ac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  <w:r w:rsidRPr="007F2D53">
        <w:rPr>
          <w:rFonts w:ascii="Amalia" w:hAnsi="Amalia"/>
          <w:sz w:val="24"/>
          <w:szCs w:val="24"/>
          <w:shd w:val="clear" w:color="auto" w:fill="FFFFFF"/>
        </w:rPr>
        <w:t>Уточнено, що проведення розрахунків за документарними та резервними акредитивами/гарантіями/</w:t>
      </w:r>
      <w:proofErr w:type="spellStart"/>
      <w:r w:rsidRPr="007F2D53">
        <w:rPr>
          <w:rFonts w:ascii="Amalia" w:hAnsi="Amalia"/>
          <w:sz w:val="24"/>
          <w:szCs w:val="24"/>
          <w:shd w:val="clear" w:color="auto" w:fill="FFFFFF"/>
        </w:rPr>
        <w:t>контргарантіями</w:t>
      </w:r>
      <w:proofErr w:type="spellEnd"/>
      <w:r w:rsidRPr="007F2D53">
        <w:rPr>
          <w:rFonts w:ascii="Amalia" w:hAnsi="Amalia"/>
          <w:sz w:val="24"/>
          <w:szCs w:val="24"/>
          <w:shd w:val="clear" w:color="auto" w:fill="FFFFFF"/>
        </w:rPr>
        <w:t>, відкритими (підтвердженими, наданими) з 24 лютого 2022 року, забороняється. Виняток зроблено лише для випадків, коли такі розрахунки здійснюються для оплати товарів критичного імпорту, розрахунків з МФО та інших операцій клієнтів банків, перелік яких визначено підпунктами 2–6 пункту 14 </w:t>
      </w:r>
      <w:hyperlink r:id="rId10" w:history="1">
        <w:r w:rsidRPr="007F2D53">
          <w:rPr>
            <w:rFonts w:ascii="Amalia" w:hAnsi="Amalia"/>
            <w:sz w:val="24"/>
            <w:szCs w:val="24"/>
            <w:shd w:val="clear" w:color="auto" w:fill="FFFFFF"/>
          </w:rPr>
          <w:t>Постанови № 18</w:t>
        </w:r>
      </w:hyperlink>
      <w:r w:rsidRPr="007F2D53">
        <w:rPr>
          <w:rFonts w:ascii="Amalia" w:hAnsi="Amalia"/>
          <w:sz w:val="24"/>
          <w:szCs w:val="24"/>
          <w:shd w:val="clear" w:color="auto" w:fill="FFFFFF"/>
        </w:rPr>
        <w:t>. Наголошуємо, що ця заборона не стосується розрахунків за документарними та резервними акредитивами/гарантіями/</w:t>
      </w:r>
      <w:proofErr w:type="spellStart"/>
      <w:r w:rsidRPr="007F2D53">
        <w:rPr>
          <w:rFonts w:ascii="Amalia" w:hAnsi="Amalia"/>
          <w:sz w:val="24"/>
          <w:szCs w:val="24"/>
          <w:shd w:val="clear" w:color="auto" w:fill="FFFFFF"/>
        </w:rPr>
        <w:t>контргарантіями</w:t>
      </w:r>
      <w:proofErr w:type="spellEnd"/>
      <w:r w:rsidRPr="007F2D53">
        <w:rPr>
          <w:rFonts w:ascii="Amalia" w:hAnsi="Amalia"/>
          <w:sz w:val="24"/>
          <w:szCs w:val="24"/>
          <w:shd w:val="clear" w:color="auto" w:fill="FFFFFF"/>
        </w:rPr>
        <w:t>, відкритими (підтвердженими, наданими) до 23 лютого 2022 року включно (уключаючи оплату витрат (комісій) банків-нерезидентів та інших іноземних фінансових установ, пов’язаних із проведенням таких операцій).</w:t>
      </w:r>
      <w:r w:rsidRPr="007F2D53">
        <w:rPr>
          <w:rFonts w:ascii="Amalia" w:hAnsi="Amalia"/>
          <w:sz w:val="24"/>
          <w:szCs w:val="24"/>
          <w:shd w:val="clear" w:color="auto" w:fill="FFFFFF"/>
        </w:rPr>
        <w:br/>
      </w:r>
    </w:p>
    <w:p w14:paraId="4D8B7B7E" w14:textId="7CED08B4" w:rsidR="00D669BB" w:rsidRPr="00D669BB" w:rsidRDefault="00D669BB" w:rsidP="00D669BB">
      <w:pPr>
        <w:spacing w:after="0" w:line="240" w:lineRule="auto"/>
        <w:jc w:val="both"/>
        <w:rPr>
          <w:rFonts w:ascii="Amalia" w:hAnsi="Amalia"/>
          <w:bCs/>
          <w:sz w:val="24"/>
          <w:szCs w:val="24"/>
          <w:shd w:val="clear" w:color="auto" w:fill="FFFFFF"/>
          <w:lang w:eastAsia="uk-UA"/>
        </w:rPr>
      </w:pPr>
      <w:r w:rsidRPr="00D669BB">
        <w:rPr>
          <w:rFonts w:ascii="Amalia" w:hAnsi="Amalia"/>
          <w:bCs/>
          <w:sz w:val="24"/>
          <w:szCs w:val="24"/>
          <w:shd w:val="clear" w:color="auto" w:fill="FFFFFF"/>
          <w:lang w:eastAsia="uk-UA"/>
        </w:rPr>
        <w:t>Додаток до Листа</w:t>
      </w:r>
    </w:p>
    <w:p w14:paraId="2C73DAC7" w14:textId="17DB3314" w:rsidR="00D669BB" w:rsidRDefault="00D669BB" w:rsidP="00D669BB">
      <w:pPr>
        <w:spacing w:after="0" w:line="240" w:lineRule="auto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</w:p>
    <w:p w14:paraId="4F433E89" w14:textId="7E5A1868" w:rsidR="007F2D53" w:rsidRPr="00D669BB" w:rsidRDefault="00262EB5" w:rsidP="00D669BB">
      <w:pPr>
        <w:spacing w:after="0" w:line="240" w:lineRule="auto"/>
        <w:jc w:val="both"/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</w:pPr>
      <w:r>
        <w:rPr>
          <w:rFonts w:ascii="Amalia" w:hAnsi="Amalia"/>
          <w:b/>
          <w:bCs/>
          <w:sz w:val="24"/>
          <w:szCs w:val="24"/>
          <w:shd w:val="clear" w:color="auto" w:fill="FFFFFF"/>
          <w:lang w:eastAsia="uk-UA"/>
        </w:rPr>
        <w:object w:dxaOrig="1508" w:dyaOrig="981" w14:anchorId="0D728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5pt;height:49.2pt" o:ole="">
            <v:imagedata r:id="rId11" o:title=""/>
          </v:shape>
          <o:OLEObject Type="Embed" ProgID="AcroExch.Document.DC" ShapeID="_x0000_i1029" DrawAspect="Icon" ObjectID="_1710146155" r:id="rId12"/>
        </w:object>
      </w:r>
    </w:p>
    <w:p w14:paraId="51105ACA" w14:textId="26C9EFF5" w:rsidR="007E4653" w:rsidRPr="0045438C" w:rsidRDefault="007C5C8B" w:rsidP="00F30ABD">
      <w:pPr>
        <w:pStyle w:val="xxmsonormal"/>
        <w:ind w:firstLine="708"/>
        <w:jc w:val="both"/>
        <w:rPr>
          <w:rFonts w:ascii="Amalia" w:hAnsi="Amalia"/>
          <w:shd w:val="clear" w:color="auto" w:fill="FFFFFF"/>
          <w:lang w:val="uk-UA"/>
        </w:rPr>
      </w:pPr>
      <w:r w:rsidRPr="005B3C58">
        <w:rPr>
          <w:rFonts w:ascii="Amalia" w:hAnsi="Amalia"/>
          <w:sz w:val="24"/>
          <w:szCs w:val="24"/>
          <w:shd w:val="clear" w:color="auto" w:fill="FFFFFF"/>
          <w:lang w:val="uk-UA"/>
        </w:rPr>
        <w:t xml:space="preserve"> </w:t>
      </w:r>
      <w:r w:rsidRPr="0018105C">
        <w:rPr>
          <w:rFonts w:ascii="Amalia" w:hAnsi="Amalia"/>
          <w:shd w:val="clear" w:color="auto" w:fill="FFFFFF"/>
          <w:lang w:val="uk-UA"/>
        </w:rPr>
        <w:t>            </w:t>
      </w:r>
    </w:p>
    <w:p w14:paraId="1DFAB9E1" w14:textId="28276648" w:rsidR="004D19F6" w:rsidRDefault="00E56154" w:rsidP="004D19F6">
      <w:pPr>
        <w:spacing w:after="0"/>
        <w:jc w:val="both"/>
        <w:rPr>
          <w:rFonts w:ascii="Amalia" w:hAnsi="Amalia"/>
          <w:sz w:val="24"/>
          <w:szCs w:val="24"/>
          <w:shd w:val="clear" w:color="auto" w:fill="FFFFFF"/>
          <w:lang w:eastAsia="uk-UA"/>
        </w:rPr>
      </w:pPr>
      <w:r w:rsidRPr="0045438C">
        <w:rPr>
          <w:rFonts w:ascii="Amalia" w:hAnsi="Amalia"/>
          <w:sz w:val="24"/>
          <w:szCs w:val="24"/>
          <w:shd w:val="clear" w:color="auto" w:fill="FFFFFF"/>
          <w:lang w:eastAsia="uk-UA"/>
        </w:rPr>
        <w:t>Бережіть себе та рідних</w:t>
      </w:r>
      <w:r w:rsidR="004D19F6">
        <w:rPr>
          <w:rFonts w:ascii="Amalia" w:hAnsi="Amalia"/>
          <w:sz w:val="24"/>
          <w:szCs w:val="24"/>
          <w:shd w:val="clear" w:color="auto" w:fill="FFFFFF"/>
          <w:lang w:eastAsia="uk-UA"/>
        </w:rPr>
        <w:t>!</w:t>
      </w:r>
    </w:p>
    <w:p w14:paraId="0C077B5A" w14:textId="77777777" w:rsidR="004D19F6" w:rsidRDefault="004D19F6" w:rsidP="004D19F6">
      <w:pPr>
        <w:spacing w:after="0"/>
        <w:jc w:val="both"/>
        <w:rPr>
          <w:rFonts w:ascii="Amalia" w:hAnsi="Amalia"/>
          <w:sz w:val="24"/>
          <w:szCs w:val="24"/>
          <w:shd w:val="clear" w:color="auto" w:fill="FFFFFF"/>
          <w:lang w:eastAsia="uk-UA"/>
        </w:rPr>
      </w:pPr>
    </w:p>
    <w:p w14:paraId="0B6808F3" w14:textId="77777777" w:rsidR="005D1634" w:rsidRPr="005B3C58" w:rsidRDefault="005D1634" w:rsidP="006579BD">
      <w:pPr>
        <w:spacing w:after="0"/>
        <w:ind w:left="-567" w:firstLine="567"/>
        <w:jc w:val="both"/>
        <w:rPr>
          <w:rFonts w:ascii="Amalia" w:hAnsi="Amalia"/>
          <w:b/>
          <w:sz w:val="24"/>
          <w:szCs w:val="24"/>
        </w:rPr>
      </w:pPr>
    </w:p>
    <w:sectPr w:rsidR="005D1634" w:rsidRPr="005B3C58" w:rsidSect="002772D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0" w:right="849" w:bottom="15" w:left="993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CACE" w14:textId="77777777" w:rsidR="00B91956" w:rsidRDefault="00B91956" w:rsidP="005B684D">
      <w:pPr>
        <w:spacing w:after="0" w:line="240" w:lineRule="auto"/>
      </w:pPr>
      <w:r>
        <w:separator/>
      </w:r>
    </w:p>
  </w:endnote>
  <w:endnote w:type="continuationSeparator" w:id="0">
    <w:p w14:paraId="46E3E1B8" w14:textId="77777777" w:rsidR="00B91956" w:rsidRDefault="00B91956" w:rsidP="005B684D">
      <w:pPr>
        <w:spacing w:after="0" w:line="240" w:lineRule="auto"/>
      </w:pPr>
      <w:r>
        <w:continuationSeparator/>
      </w:r>
    </w:p>
  </w:endnote>
  <w:endnote w:type="continuationNotice" w:id="1">
    <w:p w14:paraId="3F7C3E03" w14:textId="77777777" w:rsidR="00B91956" w:rsidRDefault="00B91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5758" w14:textId="77777777" w:rsidR="0026577C" w:rsidRDefault="0026577C"/>
  <w:tbl>
    <w:tblPr>
      <w:tblStyle w:val="af5"/>
      <w:tblW w:w="15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7"/>
      <w:gridCol w:w="5027"/>
      <w:gridCol w:w="5027"/>
    </w:tblGrid>
    <w:tr w:rsidR="0059116E" w14:paraId="42ACEDC5" w14:textId="77777777" w:rsidTr="0026577C">
      <w:trPr>
        <w:trHeight w:val="60"/>
      </w:trPr>
      <w:tc>
        <w:tcPr>
          <w:tcW w:w="5027" w:type="dxa"/>
          <w:vAlign w:val="center"/>
        </w:tcPr>
        <w:p w14:paraId="16B98F08" w14:textId="0B9A29F2" w:rsidR="0026577C" w:rsidRPr="005D1634" w:rsidRDefault="0026577C" w:rsidP="0026577C">
          <w:pPr>
            <w:pStyle w:val="a5"/>
            <w:rPr>
              <w:rFonts w:eastAsia="Times New Roman"/>
              <w:b/>
              <w:sz w:val="18"/>
              <w:szCs w:val="24"/>
              <w:lang w:eastAsia="ru-RU"/>
            </w:rPr>
          </w:pPr>
          <w:r w:rsidRPr="005D1634">
            <w:rPr>
              <w:rFonts w:eastAsia="Times New Roman"/>
              <w:b/>
              <w:sz w:val="18"/>
              <w:szCs w:val="24"/>
              <w:lang w:eastAsia="ru-RU"/>
            </w:rPr>
            <w:t>Інформцентр (пн-пт 8:00-2</w:t>
          </w:r>
          <w:r>
            <w:rPr>
              <w:rFonts w:eastAsia="Times New Roman"/>
              <w:b/>
              <w:sz w:val="18"/>
              <w:szCs w:val="24"/>
              <w:lang w:eastAsia="ru-RU"/>
            </w:rPr>
            <w:t>2</w:t>
          </w:r>
          <w:r w:rsidRPr="005D1634">
            <w:rPr>
              <w:rFonts w:eastAsia="Times New Roman"/>
              <w:b/>
              <w:sz w:val="18"/>
              <w:szCs w:val="24"/>
              <w:lang w:eastAsia="ru-RU"/>
            </w:rPr>
            <w:t>:00</w:t>
          </w:r>
          <w:r>
            <w:rPr>
              <w:rFonts w:eastAsia="Times New Roman"/>
              <w:b/>
              <w:sz w:val="18"/>
              <w:szCs w:val="24"/>
              <w:lang w:eastAsia="ru-RU"/>
            </w:rPr>
            <w:t xml:space="preserve">, сб-нд 08:00-20:00 </w:t>
          </w:r>
          <w:r w:rsidRPr="005D1634">
            <w:rPr>
              <w:rFonts w:eastAsia="Times New Roman"/>
              <w:b/>
              <w:sz w:val="18"/>
              <w:szCs w:val="24"/>
              <w:lang w:eastAsia="ru-RU"/>
            </w:rPr>
            <w:t>)</w:t>
          </w:r>
        </w:p>
        <w:p w14:paraId="67B0EA17" w14:textId="77777777" w:rsidR="0026577C" w:rsidRDefault="0026577C" w:rsidP="0026577C">
          <w:pPr>
            <w:pStyle w:val="a5"/>
            <w:rPr>
              <w:rFonts w:eastAsia="Times New Roman"/>
              <w:b/>
              <w:sz w:val="44"/>
              <w:szCs w:val="24"/>
              <w:lang w:eastAsia="ru-RU"/>
            </w:rPr>
          </w:pPr>
          <w:r w:rsidRPr="005D1634">
            <w:rPr>
              <w:rFonts w:eastAsia="Times New Roman"/>
              <w:b/>
              <w:sz w:val="44"/>
              <w:szCs w:val="24"/>
              <w:lang w:eastAsia="ru-RU"/>
            </w:rPr>
            <w:t>0 800 50</w:t>
          </w:r>
          <w:r>
            <w:rPr>
              <w:rFonts w:eastAsia="Times New Roman"/>
              <w:b/>
              <w:sz w:val="44"/>
              <w:szCs w:val="24"/>
              <w:lang w:eastAsia="ru-RU"/>
            </w:rPr>
            <w:t xml:space="preserve"> 50 45</w:t>
          </w:r>
        </w:p>
        <w:p w14:paraId="09115970" w14:textId="77777777" w:rsidR="0026577C" w:rsidRPr="005D1634" w:rsidRDefault="0026577C" w:rsidP="0026577C">
          <w:pPr>
            <w:pStyle w:val="a5"/>
            <w:rPr>
              <w:rFonts w:eastAsia="Times New Roman"/>
              <w:b/>
              <w:sz w:val="44"/>
              <w:szCs w:val="24"/>
              <w:lang w:eastAsia="ru-RU"/>
            </w:rPr>
          </w:pPr>
          <w:r>
            <w:rPr>
              <w:rFonts w:eastAsia="Times New Roman"/>
              <w:b/>
              <w:sz w:val="44"/>
              <w:szCs w:val="24"/>
              <w:lang w:eastAsia="ru-RU"/>
            </w:rPr>
            <w:t xml:space="preserve">044 590 24 98 </w:t>
          </w:r>
          <w:r w:rsidRPr="00C443A1">
            <w:rPr>
              <w:rFonts w:eastAsia="Times New Roman"/>
              <w:sz w:val="14"/>
              <w:szCs w:val="24"/>
              <w:lang w:eastAsia="ru-RU"/>
            </w:rPr>
            <w:t>(у Києві)</w:t>
          </w:r>
        </w:p>
        <w:p w14:paraId="79A0D26F" w14:textId="77777777" w:rsidR="0026577C" w:rsidRPr="005D1634" w:rsidRDefault="0026577C" w:rsidP="0026577C">
          <w:pPr>
            <w:pStyle w:val="a5"/>
            <w:rPr>
              <w:rFonts w:eastAsia="Times New Roman"/>
              <w:sz w:val="14"/>
              <w:szCs w:val="24"/>
              <w:lang w:eastAsia="ru-RU"/>
            </w:rPr>
          </w:pPr>
          <w:r w:rsidRPr="005D1634">
            <w:rPr>
              <w:rFonts w:eastAsia="Times New Roman"/>
              <w:sz w:val="14"/>
              <w:szCs w:val="24"/>
              <w:lang w:eastAsia="ru-RU"/>
            </w:rPr>
            <w:t>(</w:t>
          </w:r>
          <w:r>
            <w:rPr>
              <w:rFonts w:eastAsia="Times New Roman"/>
              <w:sz w:val="14"/>
              <w:szCs w:val="24"/>
              <w:lang w:eastAsia="ru-RU"/>
            </w:rPr>
            <w:t>у</w:t>
          </w:r>
          <w:r w:rsidRPr="005D1634">
            <w:rPr>
              <w:rFonts w:eastAsia="Times New Roman"/>
              <w:sz w:val="14"/>
              <w:szCs w:val="24"/>
              <w:lang w:eastAsia="ru-RU"/>
            </w:rPr>
            <w:t>сі дзвінки зі стаціонарних та мобільних</w:t>
          </w:r>
        </w:p>
        <w:p w14:paraId="0C161CC5" w14:textId="29B5E7BC" w:rsidR="005D1634" w:rsidRPr="005D1634" w:rsidRDefault="0026577C" w:rsidP="0026577C">
          <w:pPr>
            <w:pStyle w:val="a5"/>
            <w:rPr>
              <w:rStyle w:val="af6"/>
              <w:rFonts w:eastAsia="Times New Roman"/>
              <w:b w:val="0"/>
              <w:bCs w:val="0"/>
              <w:i w:val="0"/>
              <w:iCs w:val="0"/>
              <w:spacing w:val="0"/>
              <w:sz w:val="20"/>
              <w:szCs w:val="24"/>
              <w:lang w:eastAsia="ru-RU"/>
            </w:rPr>
          </w:pPr>
          <w:r>
            <w:rPr>
              <w:rFonts w:eastAsia="Times New Roman"/>
              <w:sz w:val="14"/>
              <w:szCs w:val="24"/>
              <w:lang w:eastAsia="ru-RU"/>
            </w:rPr>
            <w:t>т</w:t>
          </w:r>
          <w:r w:rsidRPr="005D1634">
            <w:rPr>
              <w:rFonts w:eastAsia="Times New Roman"/>
              <w:sz w:val="14"/>
              <w:szCs w:val="24"/>
              <w:lang w:eastAsia="ru-RU"/>
            </w:rPr>
            <w:t>елефонів в Україні – безкоштовні)</w:t>
          </w:r>
        </w:p>
      </w:tc>
      <w:tc>
        <w:tcPr>
          <w:tcW w:w="5027" w:type="dxa"/>
          <w:vAlign w:val="bottom"/>
        </w:tcPr>
        <w:p w14:paraId="475A5887" w14:textId="170D938C" w:rsidR="0059116E" w:rsidRPr="00AB5638" w:rsidRDefault="0026577C" w:rsidP="005D1634">
          <w:pPr>
            <w:spacing w:after="0" w:line="240" w:lineRule="auto"/>
            <w:jc w:val="right"/>
            <w:rPr>
              <w:rFonts w:ascii="Amalia" w:eastAsia="Times New Roman" w:hAnsi="Amalia"/>
              <w:sz w:val="20"/>
              <w:szCs w:val="24"/>
              <w:lang w:val="ru-RU" w:eastAsia="ru-RU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5679" behindDoc="1" locked="0" layoutInCell="1" allowOverlap="1" wp14:anchorId="74BC0022" wp14:editId="4D19D1C3">
                    <wp:simplePos x="0" y="0"/>
                    <wp:positionH relativeFrom="column">
                      <wp:posOffset>-3876675</wp:posOffset>
                    </wp:positionH>
                    <wp:positionV relativeFrom="paragraph">
                      <wp:posOffset>-128270</wp:posOffset>
                    </wp:positionV>
                    <wp:extent cx="7543800" cy="146685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3800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00188A" id="Прямоугольник 2" o:spid="_x0000_s1026" style="position:absolute;margin-left:-305.25pt;margin-top:-10.1pt;width:594pt;height:115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" fillcolor="#fff000" stroked="f" strokeweight="1pt"/>
                </w:pict>
              </mc:Fallback>
            </mc:AlternateContent>
          </w:r>
          <w:r w:rsidR="00D146B2" w:rsidRPr="00D146B2">
            <w:rPr>
              <w:rFonts w:ascii="Amalia" w:eastAsia="Times New Roman" w:hAnsi="Amalia"/>
              <w:sz w:val="20"/>
              <w:szCs w:val="24"/>
              <w:lang w:eastAsia="ru-RU"/>
            </w:rPr>
            <w:t xml:space="preserve"> </w:t>
          </w:r>
        </w:p>
      </w:tc>
      <w:tc>
        <w:tcPr>
          <w:tcW w:w="5027" w:type="dxa"/>
        </w:tcPr>
        <w:p w14:paraId="70031E43" w14:textId="511C5DC0" w:rsidR="0059116E" w:rsidRPr="0059116E" w:rsidRDefault="0059116E" w:rsidP="0059116E">
          <w:pPr>
            <w:spacing w:after="0" w:line="240" w:lineRule="auto"/>
          </w:pPr>
        </w:p>
      </w:tc>
    </w:tr>
  </w:tbl>
  <w:p w14:paraId="7F2A7B19" w14:textId="77CD38EB" w:rsidR="001C00B7" w:rsidRPr="00D146B2" w:rsidRDefault="001C00B7" w:rsidP="001C00B7">
    <w:pPr>
      <w:pStyle w:val="a5"/>
      <w:rPr>
        <w:rFonts w:ascii="Amalia" w:hAnsi="Amali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9928" w14:textId="77777777" w:rsidR="00B91956" w:rsidRDefault="00B91956" w:rsidP="005B684D">
      <w:pPr>
        <w:spacing w:after="0" w:line="240" w:lineRule="auto"/>
      </w:pPr>
      <w:r>
        <w:separator/>
      </w:r>
    </w:p>
  </w:footnote>
  <w:footnote w:type="continuationSeparator" w:id="0">
    <w:p w14:paraId="7F347EC6" w14:textId="77777777" w:rsidR="00B91956" w:rsidRDefault="00B91956" w:rsidP="005B684D">
      <w:pPr>
        <w:spacing w:after="0" w:line="240" w:lineRule="auto"/>
      </w:pPr>
      <w:r>
        <w:continuationSeparator/>
      </w:r>
    </w:p>
  </w:footnote>
  <w:footnote w:type="continuationNotice" w:id="1">
    <w:p w14:paraId="725FF3C8" w14:textId="77777777" w:rsidR="00B91956" w:rsidRDefault="00B91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0B39" w14:textId="77777777" w:rsidR="005B684D" w:rsidRDefault="00B91956">
    <w:pPr>
      <w:pStyle w:val="a3"/>
    </w:pPr>
    <w:r>
      <w:rPr>
        <w:noProof/>
        <w:lang w:val="ru-RU" w:eastAsia="ru-RU"/>
      </w:rPr>
      <w:pict w14:anchorId="68308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91" o:spid="_x0000_s2053" type="#_x0000_t75" style="position:absolute;margin-left:0;margin-top:0;width:606.7pt;height:853.2pt;z-index:-251658752;mso-position-horizontal:center;mso-position-horizontal-relative:margin;mso-position-vertical:center;mso-position-vertical-relative:margin" o:allowincell="f">
          <v:imagedata r:id="rId1" o:title="RBA_BB2018_blankA4_v6_print_1_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C06D" w14:textId="77777777" w:rsidR="00997875" w:rsidRDefault="00997875">
    <w:pPr>
      <w:pStyle w:val="a3"/>
    </w:pPr>
    <w:r w:rsidRPr="00E33D0B">
      <w:rPr>
        <w:rFonts w:asciiTheme="minorHAnsi" w:hAnsiTheme="minorHAnsi" w:cstheme="minorHAnsi"/>
        <w:noProof/>
        <w:sz w:val="18"/>
        <w:szCs w:val="18"/>
        <w:lang w:val="ru-RU" w:eastAsia="ru-RU"/>
      </w:rPr>
      <w:drawing>
        <wp:anchor distT="0" distB="0" distL="114300" distR="114300" simplePos="0" relativeHeight="251661824" behindDoc="1" locked="0" layoutInCell="1" allowOverlap="1" wp14:anchorId="1DF72660" wp14:editId="2D87E3FA">
          <wp:simplePos x="0" y="0"/>
          <wp:positionH relativeFrom="page">
            <wp:posOffset>6350</wp:posOffset>
          </wp:positionH>
          <wp:positionV relativeFrom="paragraph">
            <wp:posOffset>-934085</wp:posOffset>
          </wp:positionV>
          <wp:extent cx="7554269" cy="108701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A4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269" cy="1087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C2BE" w14:textId="77777777" w:rsidR="005B684D" w:rsidRDefault="00B91956">
    <w:pPr>
      <w:pStyle w:val="a3"/>
    </w:pPr>
    <w:r>
      <w:rPr>
        <w:noProof/>
        <w:lang w:val="ru-RU" w:eastAsia="ru-RU"/>
      </w:rPr>
      <w:pict w14:anchorId="27C4A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90" o:spid="_x0000_s2052" type="#_x0000_t75" style="position:absolute;margin-left:0;margin-top:0;width:606.7pt;height:853.2pt;z-index:-251659776;mso-position-horizontal:center;mso-position-horizontal-relative:margin;mso-position-vertical:center;mso-position-vertical-relative:margin" o:allowincell="f">
          <v:imagedata r:id="rId1" o:title="RBA_BB2018_blankA4_v6_print_1_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68"/>
    <w:multiLevelType w:val="hybridMultilevel"/>
    <w:tmpl w:val="100C1F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66E"/>
    <w:multiLevelType w:val="hybridMultilevel"/>
    <w:tmpl w:val="DF4C0C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2F2"/>
    <w:multiLevelType w:val="multilevel"/>
    <w:tmpl w:val="5ED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D503B"/>
    <w:multiLevelType w:val="hybridMultilevel"/>
    <w:tmpl w:val="873C7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9EF"/>
    <w:multiLevelType w:val="hybridMultilevel"/>
    <w:tmpl w:val="ED72DD02"/>
    <w:lvl w:ilvl="0" w:tplc="C6F05C28">
      <w:start w:val="50"/>
      <w:numFmt w:val="bullet"/>
      <w:lvlText w:val="-"/>
      <w:lvlJc w:val="left"/>
      <w:pPr>
        <w:ind w:left="1073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1D9B020E"/>
    <w:multiLevelType w:val="hybridMultilevel"/>
    <w:tmpl w:val="1714AEA6"/>
    <w:lvl w:ilvl="0" w:tplc="47086B6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91661"/>
    <w:multiLevelType w:val="hybridMultilevel"/>
    <w:tmpl w:val="7A38503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215A8F"/>
    <w:multiLevelType w:val="hybridMultilevel"/>
    <w:tmpl w:val="B4D8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E1C77"/>
    <w:multiLevelType w:val="hybridMultilevel"/>
    <w:tmpl w:val="8A541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1505"/>
    <w:multiLevelType w:val="hybridMultilevel"/>
    <w:tmpl w:val="45B457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44426"/>
    <w:multiLevelType w:val="hybridMultilevel"/>
    <w:tmpl w:val="413C1E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F59"/>
    <w:multiLevelType w:val="hybridMultilevel"/>
    <w:tmpl w:val="7F66D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11E70"/>
    <w:multiLevelType w:val="multilevel"/>
    <w:tmpl w:val="E5C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491022"/>
    <w:multiLevelType w:val="hybridMultilevel"/>
    <w:tmpl w:val="2D4880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034C6"/>
    <w:multiLevelType w:val="hybridMultilevel"/>
    <w:tmpl w:val="AB9AB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61A9"/>
    <w:multiLevelType w:val="hybridMultilevel"/>
    <w:tmpl w:val="A7FA9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5444E"/>
    <w:multiLevelType w:val="hybridMultilevel"/>
    <w:tmpl w:val="5906C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4E6"/>
    <w:multiLevelType w:val="multilevel"/>
    <w:tmpl w:val="D84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8A3994"/>
    <w:multiLevelType w:val="hybridMultilevel"/>
    <w:tmpl w:val="2FA4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030F"/>
    <w:multiLevelType w:val="hybridMultilevel"/>
    <w:tmpl w:val="0DE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D78C4"/>
    <w:multiLevelType w:val="hybridMultilevel"/>
    <w:tmpl w:val="5E320FB6"/>
    <w:lvl w:ilvl="0" w:tplc="0AF22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7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5"/>
  </w:num>
  <w:num w:numId="15">
    <w:abstractNumId w:val="13"/>
  </w:num>
  <w:num w:numId="16">
    <w:abstractNumId w:val="20"/>
  </w:num>
  <w:num w:numId="17">
    <w:abstractNumId w:val="15"/>
  </w:num>
  <w:num w:numId="18">
    <w:abstractNumId w:val="8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4D"/>
    <w:rsid w:val="0000000A"/>
    <w:rsid w:val="00016705"/>
    <w:rsid w:val="00020AA5"/>
    <w:rsid w:val="000265F7"/>
    <w:rsid w:val="00052CB8"/>
    <w:rsid w:val="000666CD"/>
    <w:rsid w:val="00073B1A"/>
    <w:rsid w:val="00091411"/>
    <w:rsid w:val="00093628"/>
    <w:rsid w:val="000A1233"/>
    <w:rsid w:val="000A28DC"/>
    <w:rsid w:val="000C2A7A"/>
    <w:rsid w:val="000D79AC"/>
    <w:rsid w:val="000E0FBD"/>
    <w:rsid w:val="000F647D"/>
    <w:rsid w:val="001167AE"/>
    <w:rsid w:val="00132928"/>
    <w:rsid w:val="001443AB"/>
    <w:rsid w:val="001443D5"/>
    <w:rsid w:val="00150A9B"/>
    <w:rsid w:val="00162D77"/>
    <w:rsid w:val="00166FE3"/>
    <w:rsid w:val="0017289F"/>
    <w:rsid w:val="0018105C"/>
    <w:rsid w:val="00181716"/>
    <w:rsid w:val="00184A23"/>
    <w:rsid w:val="00192841"/>
    <w:rsid w:val="001937EC"/>
    <w:rsid w:val="001B107A"/>
    <w:rsid w:val="001C00B7"/>
    <w:rsid w:val="001C2516"/>
    <w:rsid w:val="001D46F5"/>
    <w:rsid w:val="001F00F7"/>
    <w:rsid w:val="001F5830"/>
    <w:rsid w:val="00203CC7"/>
    <w:rsid w:val="00205E5F"/>
    <w:rsid w:val="002117BC"/>
    <w:rsid w:val="0021329A"/>
    <w:rsid w:val="00224BD2"/>
    <w:rsid w:val="00232A8E"/>
    <w:rsid w:val="00234416"/>
    <w:rsid w:val="00234E26"/>
    <w:rsid w:val="00262EB5"/>
    <w:rsid w:val="00264335"/>
    <w:rsid w:val="0026577C"/>
    <w:rsid w:val="00266F81"/>
    <w:rsid w:val="002772D1"/>
    <w:rsid w:val="00281490"/>
    <w:rsid w:val="00283B18"/>
    <w:rsid w:val="00283BB4"/>
    <w:rsid w:val="002966C4"/>
    <w:rsid w:val="002B0166"/>
    <w:rsid w:val="002C7A7E"/>
    <w:rsid w:val="002D3E00"/>
    <w:rsid w:val="002D7F08"/>
    <w:rsid w:val="002E2581"/>
    <w:rsid w:val="002F6031"/>
    <w:rsid w:val="00311B04"/>
    <w:rsid w:val="00316F95"/>
    <w:rsid w:val="00317B7B"/>
    <w:rsid w:val="00322ADC"/>
    <w:rsid w:val="00325900"/>
    <w:rsid w:val="00326A62"/>
    <w:rsid w:val="0033050D"/>
    <w:rsid w:val="00333944"/>
    <w:rsid w:val="00353F7F"/>
    <w:rsid w:val="003645FB"/>
    <w:rsid w:val="00375CD2"/>
    <w:rsid w:val="003840B6"/>
    <w:rsid w:val="0039345F"/>
    <w:rsid w:val="003A16E3"/>
    <w:rsid w:val="003C21C5"/>
    <w:rsid w:val="003D0325"/>
    <w:rsid w:val="003F0EB2"/>
    <w:rsid w:val="003F5B50"/>
    <w:rsid w:val="00434DAB"/>
    <w:rsid w:val="0045438C"/>
    <w:rsid w:val="0045555A"/>
    <w:rsid w:val="0046348E"/>
    <w:rsid w:val="00464FE7"/>
    <w:rsid w:val="0047005A"/>
    <w:rsid w:val="00482ED1"/>
    <w:rsid w:val="00487973"/>
    <w:rsid w:val="004977B4"/>
    <w:rsid w:val="004A027A"/>
    <w:rsid w:val="004B173C"/>
    <w:rsid w:val="004B787C"/>
    <w:rsid w:val="004D19F6"/>
    <w:rsid w:val="004D4467"/>
    <w:rsid w:val="004E2841"/>
    <w:rsid w:val="004F1A07"/>
    <w:rsid w:val="00507415"/>
    <w:rsid w:val="00515605"/>
    <w:rsid w:val="0052242B"/>
    <w:rsid w:val="005268EB"/>
    <w:rsid w:val="005272A9"/>
    <w:rsid w:val="00545E66"/>
    <w:rsid w:val="00557AC1"/>
    <w:rsid w:val="005779C4"/>
    <w:rsid w:val="0059116E"/>
    <w:rsid w:val="005B25BD"/>
    <w:rsid w:val="005B361C"/>
    <w:rsid w:val="005B3C58"/>
    <w:rsid w:val="005B684D"/>
    <w:rsid w:val="005D1634"/>
    <w:rsid w:val="005D2E33"/>
    <w:rsid w:val="005D326E"/>
    <w:rsid w:val="00607E60"/>
    <w:rsid w:val="00617879"/>
    <w:rsid w:val="00623231"/>
    <w:rsid w:val="00631822"/>
    <w:rsid w:val="00645578"/>
    <w:rsid w:val="006579BD"/>
    <w:rsid w:val="00675270"/>
    <w:rsid w:val="006953B4"/>
    <w:rsid w:val="006975A5"/>
    <w:rsid w:val="00697808"/>
    <w:rsid w:val="006B6360"/>
    <w:rsid w:val="006B64CD"/>
    <w:rsid w:val="006C1182"/>
    <w:rsid w:val="006D5632"/>
    <w:rsid w:val="006E62B6"/>
    <w:rsid w:val="006F69BC"/>
    <w:rsid w:val="00706C83"/>
    <w:rsid w:val="00707808"/>
    <w:rsid w:val="00717CB8"/>
    <w:rsid w:val="0072249B"/>
    <w:rsid w:val="00725AC9"/>
    <w:rsid w:val="00726058"/>
    <w:rsid w:val="00730CD6"/>
    <w:rsid w:val="00733ECB"/>
    <w:rsid w:val="00760421"/>
    <w:rsid w:val="00777673"/>
    <w:rsid w:val="007826F6"/>
    <w:rsid w:val="0078530F"/>
    <w:rsid w:val="00792D5D"/>
    <w:rsid w:val="007A1A7A"/>
    <w:rsid w:val="007C5C8B"/>
    <w:rsid w:val="007C73C8"/>
    <w:rsid w:val="007D09E4"/>
    <w:rsid w:val="007D4045"/>
    <w:rsid w:val="007E4653"/>
    <w:rsid w:val="007E59AB"/>
    <w:rsid w:val="007F0C93"/>
    <w:rsid w:val="007F2D53"/>
    <w:rsid w:val="008308E1"/>
    <w:rsid w:val="008308F0"/>
    <w:rsid w:val="00864D51"/>
    <w:rsid w:val="008706E4"/>
    <w:rsid w:val="00882190"/>
    <w:rsid w:val="00892547"/>
    <w:rsid w:val="008A240A"/>
    <w:rsid w:val="008B47CF"/>
    <w:rsid w:val="008B77DC"/>
    <w:rsid w:val="008C44AC"/>
    <w:rsid w:val="008D05DC"/>
    <w:rsid w:val="008D0F56"/>
    <w:rsid w:val="008D16A5"/>
    <w:rsid w:val="00906CBE"/>
    <w:rsid w:val="00907252"/>
    <w:rsid w:val="009205B7"/>
    <w:rsid w:val="009353CF"/>
    <w:rsid w:val="009416E4"/>
    <w:rsid w:val="00946AB4"/>
    <w:rsid w:val="00951499"/>
    <w:rsid w:val="00951F6C"/>
    <w:rsid w:val="00954E79"/>
    <w:rsid w:val="00997875"/>
    <w:rsid w:val="009D7444"/>
    <w:rsid w:val="009E089B"/>
    <w:rsid w:val="009F14FD"/>
    <w:rsid w:val="009F324B"/>
    <w:rsid w:val="00A00062"/>
    <w:rsid w:val="00A01646"/>
    <w:rsid w:val="00A14E6B"/>
    <w:rsid w:val="00A202A1"/>
    <w:rsid w:val="00A207A5"/>
    <w:rsid w:val="00A2160E"/>
    <w:rsid w:val="00A22246"/>
    <w:rsid w:val="00A227AC"/>
    <w:rsid w:val="00A3727D"/>
    <w:rsid w:val="00A420D9"/>
    <w:rsid w:val="00A425E4"/>
    <w:rsid w:val="00A4640C"/>
    <w:rsid w:val="00A60A5E"/>
    <w:rsid w:val="00A6439F"/>
    <w:rsid w:val="00A71DF7"/>
    <w:rsid w:val="00A7202E"/>
    <w:rsid w:val="00A76A4F"/>
    <w:rsid w:val="00AB5638"/>
    <w:rsid w:val="00AC39E9"/>
    <w:rsid w:val="00AD6531"/>
    <w:rsid w:val="00AE74A1"/>
    <w:rsid w:val="00AF1D57"/>
    <w:rsid w:val="00AF7928"/>
    <w:rsid w:val="00B01D00"/>
    <w:rsid w:val="00B074C3"/>
    <w:rsid w:val="00B160FC"/>
    <w:rsid w:val="00B2695C"/>
    <w:rsid w:val="00B41BB6"/>
    <w:rsid w:val="00B47D43"/>
    <w:rsid w:val="00B522E5"/>
    <w:rsid w:val="00B91956"/>
    <w:rsid w:val="00B940D8"/>
    <w:rsid w:val="00BB2D25"/>
    <w:rsid w:val="00BC0CCC"/>
    <w:rsid w:val="00BC6268"/>
    <w:rsid w:val="00BC7AD1"/>
    <w:rsid w:val="00BD6B00"/>
    <w:rsid w:val="00BE1558"/>
    <w:rsid w:val="00BE4F16"/>
    <w:rsid w:val="00BF1FF0"/>
    <w:rsid w:val="00BF3984"/>
    <w:rsid w:val="00C027E4"/>
    <w:rsid w:val="00C03731"/>
    <w:rsid w:val="00C141DF"/>
    <w:rsid w:val="00C16652"/>
    <w:rsid w:val="00C21A11"/>
    <w:rsid w:val="00C22F3B"/>
    <w:rsid w:val="00C233CB"/>
    <w:rsid w:val="00C306FD"/>
    <w:rsid w:val="00C3097D"/>
    <w:rsid w:val="00C4171A"/>
    <w:rsid w:val="00C41720"/>
    <w:rsid w:val="00C427DD"/>
    <w:rsid w:val="00C4362D"/>
    <w:rsid w:val="00C86F1C"/>
    <w:rsid w:val="00C912BA"/>
    <w:rsid w:val="00C9252F"/>
    <w:rsid w:val="00CA0DF0"/>
    <w:rsid w:val="00CA5834"/>
    <w:rsid w:val="00CC1222"/>
    <w:rsid w:val="00CF3AE3"/>
    <w:rsid w:val="00D146B2"/>
    <w:rsid w:val="00D54CA9"/>
    <w:rsid w:val="00D56B7A"/>
    <w:rsid w:val="00D61B3A"/>
    <w:rsid w:val="00D62DC4"/>
    <w:rsid w:val="00D669BB"/>
    <w:rsid w:val="00D67D0E"/>
    <w:rsid w:val="00D71C4B"/>
    <w:rsid w:val="00D74EAA"/>
    <w:rsid w:val="00D76D98"/>
    <w:rsid w:val="00D80441"/>
    <w:rsid w:val="00DA1FF6"/>
    <w:rsid w:val="00DA62EA"/>
    <w:rsid w:val="00DB79BD"/>
    <w:rsid w:val="00DC448B"/>
    <w:rsid w:val="00DC4507"/>
    <w:rsid w:val="00DD440A"/>
    <w:rsid w:val="00DF08FD"/>
    <w:rsid w:val="00E05A6B"/>
    <w:rsid w:val="00E1048F"/>
    <w:rsid w:val="00E10731"/>
    <w:rsid w:val="00E33D0B"/>
    <w:rsid w:val="00E56154"/>
    <w:rsid w:val="00E70696"/>
    <w:rsid w:val="00E81BF9"/>
    <w:rsid w:val="00E96BEF"/>
    <w:rsid w:val="00EA24EA"/>
    <w:rsid w:val="00EA7FA1"/>
    <w:rsid w:val="00EC394A"/>
    <w:rsid w:val="00F03914"/>
    <w:rsid w:val="00F03BAA"/>
    <w:rsid w:val="00F2049D"/>
    <w:rsid w:val="00F20825"/>
    <w:rsid w:val="00F30ABD"/>
    <w:rsid w:val="00F4444B"/>
    <w:rsid w:val="00F54C6D"/>
    <w:rsid w:val="00F5541B"/>
    <w:rsid w:val="00F57356"/>
    <w:rsid w:val="00F621D0"/>
    <w:rsid w:val="00F9241B"/>
    <w:rsid w:val="00FA109F"/>
    <w:rsid w:val="00FA493D"/>
    <w:rsid w:val="00FA727A"/>
    <w:rsid w:val="00FB3F7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1019AA9"/>
  <w15:chartTrackingRefBased/>
  <w15:docId w15:val="{E7527FB0-4090-4475-A155-0A42CF6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5B68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84D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a3">
    <w:name w:val="header"/>
    <w:basedOn w:val="a"/>
    <w:link w:val="a4"/>
    <w:uiPriority w:val="99"/>
    <w:unhideWhenUsed/>
    <w:rsid w:val="005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5B684D"/>
    <w:rPr>
      <w:lang w:val="uk-UA"/>
    </w:rPr>
  </w:style>
  <w:style w:type="paragraph" w:styleId="a5">
    <w:name w:val="footer"/>
    <w:basedOn w:val="a"/>
    <w:link w:val="a6"/>
    <w:uiPriority w:val="99"/>
    <w:unhideWhenUsed/>
    <w:rsid w:val="005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5B684D"/>
    <w:rPr>
      <w:lang w:val="uk-UA"/>
    </w:rPr>
  </w:style>
  <w:style w:type="paragraph" w:styleId="a7">
    <w:name w:val="Normal (Web)"/>
    <w:basedOn w:val="a"/>
    <w:uiPriority w:val="99"/>
    <w:unhideWhenUsed/>
    <w:rsid w:val="003F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3F5B50"/>
    <w:rPr>
      <w:color w:val="0563C1"/>
      <w:u w:val="single"/>
    </w:rPr>
  </w:style>
  <w:style w:type="paragraph" w:styleId="a9">
    <w:name w:val="footnote text"/>
    <w:basedOn w:val="a"/>
    <w:link w:val="aa"/>
    <w:uiPriority w:val="99"/>
    <w:unhideWhenUsed/>
    <w:rsid w:val="003F5B5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Текст виноски Знак"/>
    <w:link w:val="a9"/>
    <w:uiPriority w:val="99"/>
    <w:rsid w:val="003F5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F5B50"/>
    <w:rPr>
      <w:vertAlign w:val="superscript"/>
    </w:rPr>
  </w:style>
  <w:style w:type="paragraph" w:styleId="ac">
    <w:name w:val="List Paragraph"/>
    <w:aliases w:val="1. Абзац списка,Equipment"/>
    <w:basedOn w:val="a"/>
    <w:link w:val="ad"/>
    <w:uiPriority w:val="34"/>
    <w:qFormat/>
    <w:rsid w:val="0064557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6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60A5E"/>
    <w:rPr>
      <w:rFonts w:ascii="Segoe UI" w:hAnsi="Segoe UI" w:cs="Segoe UI"/>
      <w:sz w:val="18"/>
      <w:szCs w:val="18"/>
      <w:lang w:val="uk-UA" w:eastAsia="en-US"/>
    </w:rPr>
  </w:style>
  <w:style w:type="character" w:styleId="af0">
    <w:name w:val="annotation reference"/>
    <w:basedOn w:val="a0"/>
    <w:uiPriority w:val="99"/>
    <w:semiHidden/>
    <w:unhideWhenUsed/>
    <w:rsid w:val="00A60A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0A5E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A60A5E"/>
    <w:rPr>
      <w:lang w:val="uk-UA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0A5E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A60A5E"/>
    <w:rPr>
      <w:b/>
      <w:bCs/>
      <w:lang w:val="uk-UA" w:eastAsia="en-US"/>
    </w:rPr>
  </w:style>
  <w:style w:type="paragraph" w:customStyle="1" w:styleId="paragraph">
    <w:name w:val="paragraph"/>
    <w:basedOn w:val="a"/>
    <w:rsid w:val="00AF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AF7928"/>
  </w:style>
  <w:style w:type="character" w:customStyle="1" w:styleId="eop">
    <w:name w:val="eop"/>
    <w:basedOn w:val="a0"/>
    <w:rsid w:val="00AF7928"/>
  </w:style>
  <w:style w:type="character" w:customStyle="1" w:styleId="spellingerror">
    <w:name w:val="spellingerror"/>
    <w:basedOn w:val="a0"/>
    <w:rsid w:val="00AF7928"/>
  </w:style>
  <w:style w:type="table" w:styleId="af5">
    <w:name w:val="Table Grid"/>
    <w:basedOn w:val="a1"/>
    <w:uiPriority w:val="39"/>
    <w:rsid w:val="001C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Book Title"/>
    <w:basedOn w:val="a0"/>
    <w:uiPriority w:val="33"/>
    <w:qFormat/>
    <w:rsid w:val="00DA62EA"/>
    <w:rPr>
      <w:b/>
      <w:bCs/>
      <w:i/>
      <w:iCs/>
      <w:spacing w:val="5"/>
    </w:rPr>
  </w:style>
  <w:style w:type="paragraph" w:styleId="af7">
    <w:name w:val="Revision"/>
    <w:hidden/>
    <w:uiPriority w:val="99"/>
    <w:semiHidden/>
    <w:rsid w:val="00205E5F"/>
    <w:rPr>
      <w:sz w:val="22"/>
      <w:szCs w:val="22"/>
      <w:lang w:val="uk-UA" w:eastAsia="en-US"/>
    </w:rPr>
  </w:style>
  <w:style w:type="character" w:styleId="af8">
    <w:name w:val="Unresolved Mention"/>
    <w:basedOn w:val="a0"/>
    <w:uiPriority w:val="99"/>
    <w:semiHidden/>
    <w:unhideWhenUsed/>
    <w:rsid w:val="005B25B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B25BD"/>
    <w:rPr>
      <w:color w:val="954F72" w:themeColor="followedHyperlink"/>
      <w:u w:val="single"/>
    </w:rPr>
  </w:style>
  <w:style w:type="paragraph" w:customStyle="1" w:styleId="xxmsonormal">
    <w:name w:val="x_xmsonormal"/>
    <w:basedOn w:val="a"/>
    <w:uiPriority w:val="99"/>
    <w:semiHidden/>
    <w:rsid w:val="007C5C8B"/>
    <w:pPr>
      <w:spacing w:after="0" w:line="240" w:lineRule="auto"/>
    </w:pPr>
    <w:rPr>
      <w:rFonts w:eastAsia="Times New Roman" w:cs="Calibri"/>
      <w:lang w:val="ru-RU" w:eastAsia="ru-RU"/>
    </w:rPr>
  </w:style>
  <w:style w:type="paragraph" w:customStyle="1" w:styleId="xxrvps2">
    <w:name w:val="x_xrvps2"/>
    <w:basedOn w:val="a"/>
    <w:uiPriority w:val="99"/>
    <w:semiHidden/>
    <w:rsid w:val="007C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xrvts37">
    <w:name w:val="x_xrvts37"/>
    <w:basedOn w:val="a0"/>
    <w:rsid w:val="007C5C8B"/>
    <w:rPr>
      <w:rFonts w:ascii="Times New Roman" w:hAnsi="Times New Roman" w:cs="Times New Roman" w:hint="default"/>
    </w:rPr>
  </w:style>
  <w:style w:type="character" w:customStyle="1" w:styleId="ad">
    <w:name w:val="Абзац списку Знак"/>
    <w:aliases w:val="1. Абзац списка Знак,Equipment Знак"/>
    <w:link w:val="ac"/>
    <w:uiPriority w:val="34"/>
    <w:qFormat/>
    <w:rsid w:val="00EA7FA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739">
              <w:marLeft w:val="57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1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zakon.rada.gov.ua%2Flaws%2Fshow%2Fz0557-02%23Text&amp;data=04%7C01%7Cmethodology.currency%40raiffeisen.ua%7C401b719640ff4dc5f4e708d9f78fbd09%7C9b511fdaf0b143a5b06e1e720f64520a%7C0%7C0%7C637813019003199643%7CUnknown%7CTWFpbGZsb3d8eyJWIjoiMC4wLjAwMDAiLCJQIjoiV2luMzIiLCJBTiI6Ik1haWwiLCJXVCI6Mn0%3D%7C3000&amp;sdata=Fe8te7Jtt0%2BNI9JIuMeJhk5L%2BnYm2ZZ7MZ3t39u0NC4%3D&amp;reserved=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03.safelinks.protection.outlook.com/?url=https%3A%2F%2Fbank.gov.ua%2Fadmin_uploads%2Flaw%2FResolution_24022022_18_kp.pdf&amp;data=04%7C01%7Cnataliia.savenko%40raiffeisen.ua%7Cda99897b2c8a4b084b4908da011c94f0%7C9b511fdaf0b143a5b06e1e720f64520a%7C0%7C0%7C637823519683654217%7CUnknown%7CTWFpbGZsb3d8eyJWIjoiMC4wLjAwMDAiLCJQIjoiV2luMzIiLCJBTiI6Ik1haWwiLCJXVCI6Mn0%3D%7C3000&amp;sdata=FTERVij39ylnEH6%2BKebkGln4p5IeovnlE8B6l0IifWU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zakon.rada.gov.ua%2Flaws%2Fshow%2Fz0557-02%23Text&amp;data=04%7C01%7Cmethodology.currency%40raiffeisen.ua%7C401b719640ff4dc5f4e708d9f78fbd09%7C9b511fdaf0b143a5b06e1e720f64520a%7C0%7C0%7C637813019003199643%7CUnknown%7CTWFpbGZsb3d8eyJWIjoiMC4wLjAwMDAiLCJQIjoiV2luMzIiLCJBTiI6Ik1haWwiLCJXVCI6Mn0%3D%7C3000&amp;sdata=Fe8te7Jtt0%2BNI9JIuMeJhk5L%2BnYm2ZZ7MZ3t39u0NC4%3D&amp;reserved=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E3AF-86EC-4525-B16A-4E56D25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5888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Sergii</dc:creator>
  <cp:keywords/>
  <dc:description/>
  <cp:lastModifiedBy>Sergii SHEMCHUK</cp:lastModifiedBy>
  <cp:revision>4</cp:revision>
  <cp:lastPrinted>2019-12-28T12:54:00Z</cp:lastPrinted>
  <dcterms:created xsi:type="dcterms:W3CDTF">2022-03-30T08:47:00Z</dcterms:created>
  <dcterms:modified xsi:type="dcterms:W3CDTF">2022-03-30T08:49:00Z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2021-06-02T14:04:34Z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de25f64a-3cd9-45e1-af94-225240f91dd3</vt:lpwstr>
  </property>
  <property fmtid="{D5CDD505-2E9C-101B-9397-08002B2CF9AE}" pid="8" name="MSIP_Label_cef7f2da-30d3-430a-a9a4-8103a74342a8_ContentBits">
    <vt:lpwstr>0</vt:lpwstr>
  </property>
</Properties>
</file>