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2FB2" w14:textId="23C55779" w:rsidR="00016781" w:rsidRPr="00300EE8" w:rsidRDefault="00016781" w:rsidP="00575542">
      <w:pPr>
        <w:spacing w:after="0" w:line="240" w:lineRule="auto"/>
        <w:ind w:left="573" w:right="0" w:hanging="573"/>
        <w:jc w:val="right"/>
        <w:rPr>
          <w:sz w:val="18"/>
          <w:szCs w:val="18"/>
        </w:rPr>
      </w:pPr>
      <w:r w:rsidRPr="00300EE8">
        <w:rPr>
          <w:sz w:val="18"/>
          <w:szCs w:val="18"/>
        </w:rPr>
        <w:t xml:space="preserve">Додаток </w:t>
      </w:r>
      <w:r w:rsidR="000B38C2" w:rsidRPr="00300EE8">
        <w:rPr>
          <w:sz w:val="18"/>
          <w:szCs w:val="18"/>
        </w:rPr>
        <w:t>1</w:t>
      </w:r>
    </w:p>
    <w:p w14:paraId="01BF91A4" w14:textId="142BAA88" w:rsidR="00016781" w:rsidRPr="00300EE8" w:rsidRDefault="00016781" w:rsidP="00575542">
      <w:pPr>
        <w:spacing w:after="0" w:line="240" w:lineRule="auto"/>
        <w:ind w:left="573" w:right="0" w:hanging="573"/>
        <w:jc w:val="right"/>
        <w:rPr>
          <w:sz w:val="18"/>
          <w:szCs w:val="18"/>
        </w:rPr>
      </w:pPr>
      <w:r w:rsidRPr="00300EE8">
        <w:rPr>
          <w:sz w:val="18"/>
          <w:szCs w:val="18"/>
        </w:rPr>
        <w:t xml:space="preserve">до </w:t>
      </w:r>
      <w:r w:rsidR="00D93B29" w:rsidRPr="00300EE8">
        <w:rPr>
          <w:sz w:val="18"/>
          <w:szCs w:val="18"/>
        </w:rPr>
        <w:t>Наказу</w:t>
      </w:r>
      <w:r w:rsidRPr="00300EE8">
        <w:rPr>
          <w:sz w:val="18"/>
          <w:szCs w:val="18"/>
        </w:rPr>
        <w:t xml:space="preserve"> </w:t>
      </w:r>
      <w:r w:rsidR="00575542" w:rsidRPr="00300EE8">
        <w:rPr>
          <w:sz w:val="18"/>
          <w:szCs w:val="18"/>
        </w:rPr>
        <w:t>№</w:t>
      </w:r>
      <w:r w:rsidR="009318D8">
        <w:rPr>
          <w:sz w:val="18"/>
          <w:szCs w:val="18"/>
        </w:rPr>
        <w:t>АН-166</w:t>
      </w:r>
      <w:r w:rsidR="00D24AA6" w:rsidRPr="00300EE8">
        <w:rPr>
          <w:sz w:val="18"/>
          <w:szCs w:val="18"/>
        </w:rPr>
        <w:t xml:space="preserve"> від </w:t>
      </w:r>
      <w:r w:rsidR="009318D8">
        <w:rPr>
          <w:sz w:val="18"/>
          <w:szCs w:val="18"/>
        </w:rPr>
        <w:t>28</w:t>
      </w:r>
      <w:r w:rsidR="00485824" w:rsidRPr="00300EE8">
        <w:rPr>
          <w:sz w:val="18"/>
          <w:szCs w:val="18"/>
        </w:rPr>
        <w:t>.</w:t>
      </w:r>
      <w:r w:rsidR="002E084D">
        <w:rPr>
          <w:sz w:val="18"/>
          <w:szCs w:val="18"/>
        </w:rPr>
        <w:t>0</w:t>
      </w:r>
      <w:r w:rsidR="00BA0A70" w:rsidRPr="00BA0A70">
        <w:rPr>
          <w:sz w:val="18"/>
          <w:szCs w:val="18"/>
          <w:lang w:val="ru-RU"/>
        </w:rPr>
        <w:t>4</w:t>
      </w:r>
      <w:r w:rsidR="00485824" w:rsidRPr="00300EE8">
        <w:rPr>
          <w:sz w:val="18"/>
          <w:szCs w:val="18"/>
        </w:rPr>
        <w:t>.202</w:t>
      </w:r>
      <w:r w:rsidR="002E084D">
        <w:rPr>
          <w:sz w:val="18"/>
          <w:szCs w:val="18"/>
        </w:rPr>
        <w:t>6</w:t>
      </w:r>
      <w:r w:rsidR="00485824" w:rsidRPr="00300EE8">
        <w:rPr>
          <w:sz w:val="18"/>
          <w:szCs w:val="18"/>
        </w:rPr>
        <w:t>р.</w:t>
      </w:r>
    </w:p>
    <w:p w14:paraId="08A0B24A" w14:textId="17E46CB8" w:rsidR="00E73218" w:rsidRPr="00300EE8" w:rsidRDefault="00E73218" w:rsidP="00575542">
      <w:pPr>
        <w:spacing w:after="0" w:line="240" w:lineRule="auto"/>
        <w:ind w:left="573" w:right="0" w:hanging="573"/>
        <w:jc w:val="right"/>
        <w:rPr>
          <w:sz w:val="18"/>
          <w:szCs w:val="18"/>
        </w:rPr>
      </w:pPr>
    </w:p>
    <w:p w14:paraId="312B8C49" w14:textId="77777777" w:rsidR="00E73218" w:rsidRPr="00300EE8" w:rsidRDefault="00E73218" w:rsidP="00575542">
      <w:pPr>
        <w:spacing w:after="0" w:line="240" w:lineRule="auto"/>
        <w:ind w:left="573" w:right="0" w:hanging="573"/>
        <w:jc w:val="right"/>
        <w:rPr>
          <w:sz w:val="18"/>
          <w:szCs w:val="18"/>
        </w:rPr>
      </w:pPr>
    </w:p>
    <w:p w14:paraId="56C6FD53" w14:textId="77777777" w:rsidR="00016781" w:rsidRPr="00300EE8" w:rsidRDefault="00016781" w:rsidP="003A317B">
      <w:pPr>
        <w:spacing w:after="0" w:line="240" w:lineRule="auto"/>
        <w:ind w:left="10" w:right="18" w:hanging="10"/>
        <w:jc w:val="center"/>
        <w:rPr>
          <w:b/>
          <w:szCs w:val="20"/>
        </w:rPr>
      </w:pPr>
    </w:p>
    <w:p w14:paraId="36AA0F81" w14:textId="0A83B1EA" w:rsidR="00E96389" w:rsidRPr="00300EE8" w:rsidRDefault="003B3611" w:rsidP="003A317B">
      <w:pPr>
        <w:spacing w:after="0" w:line="240" w:lineRule="auto"/>
        <w:ind w:left="10" w:right="18" w:hanging="10"/>
        <w:jc w:val="center"/>
        <w:rPr>
          <w:b/>
          <w:szCs w:val="20"/>
        </w:rPr>
      </w:pPr>
      <w:r w:rsidRPr="00300EE8">
        <w:rPr>
          <w:b/>
          <w:szCs w:val="20"/>
        </w:rPr>
        <w:t>Публічна обіцянка винагороди</w:t>
      </w:r>
    </w:p>
    <w:p w14:paraId="794D25B6" w14:textId="77777777" w:rsidR="00575542" w:rsidRPr="00300EE8" w:rsidRDefault="00575542" w:rsidP="003A317B">
      <w:pPr>
        <w:spacing w:after="0" w:line="240" w:lineRule="auto"/>
        <w:ind w:left="10" w:right="18" w:hanging="10"/>
        <w:rPr>
          <w:szCs w:val="20"/>
        </w:rPr>
      </w:pPr>
    </w:p>
    <w:p w14:paraId="35218648" w14:textId="3B25770A" w:rsidR="003B3611" w:rsidRPr="00300EE8" w:rsidRDefault="008E73DD" w:rsidP="003A317B">
      <w:pPr>
        <w:pStyle w:val="1"/>
        <w:numPr>
          <w:ilvl w:val="0"/>
          <w:numId w:val="0"/>
        </w:numPr>
        <w:spacing w:after="0" w:line="240" w:lineRule="auto"/>
        <w:jc w:val="both"/>
        <w:rPr>
          <w:szCs w:val="20"/>
        </w:rPr>
      </w:pPr>
      <w:r w:rsidRPr="00300EE8">
        <w:rPr>
          <w:szCs w:val="20"/>
        </w:rPr>
        <w:t xml:space="preserve">1. </w:t>
      </w:r>
      <w:r w:rsidR="003B3611" w:rsidRPr="00300EE8">
        <w:rPr>
          <w:szCs w:val="20"/>
        </w:rPr>
        <w:t>Визначення термінів</w:t>
      </w:r>
    </w:p>
    <w:p w14:paraId="06B7E9CC" w14:textId="77777777" w:rsidR="005421F6" w:rsidRPr="00300EE8" w:rsidRDefault="005421F6" w:rsidP="003A317B">
      <w:pPr>
        <w:spacing w:after="0" w:line="240" w:lineRule="auto"/>
        <w:ind w:left="0" w:firstLine="0"/>
        <w:rPr>
          <w:b/>
          <w:szCs w:val="20"/>
        </w:rPr>
      </w:pPr>
    </w:p>
    <w:p w14:paraId="62293765" w14:textId="63AB3B27" w:rsidR="003B3611" w:rsidRPr="00300EE8" w:rsidRDefault="003B3611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b/>
          <w:szCs w:val="20"/>
        </w:rPr>
        <w:t>Банк</w:t>
      </w:r>
      <w:r w:rsidRPr="00300EE8">
        <w:rPr>
          <w:szCs w:val="20"/>
        </w:rPr>
        <w:t xml:space="preserve"> – </w:t>
      </w:r>
      <w:r w:rsidR="00813F4C" w:rsidRPr="00300EE8">
        <w:rPr>
          <w:szCs w:val="20"/>
        </w:rPr>
        <w:t xml:space="preserve">Акціонерне товариство «Райффайзен Банк», адреса місцезнаходження: 01011, м. Київ, вул. </w:t>
      </w:r>
      <w:r w:rsidR="00276AE0" w:rsidRPr="00300EE8">
        <w:rPr>
          <w:szCs w:val="20"/>
        </w:rPr>
        <w:t xml:space="preserve">Генерала </w:t>
      </w:r>
      <w:proofErr w:type="spellStart"/>
      <w:r w:rsidR="00276AE0" w:rsidRPr="00300EE8">
        <w:rPr>
          <w:szCs w:val="20"/>
        </w:rPr>
        <w:t>Алмазова</w:t>
      </w:r>
      <w:proofErr w:type="spellEnd"/>
      <w:r w:rsidR="00813F4C" w:rsidRPr="00300EE8">
        <w:rPr>
          <w:szCs w:val="20"/>
        </w:rPr>
        <w:t xml:space="preserve">, </w:t>
      </w:r>
      <w:r w:rsidR="00276AE0" w:rsidRPr="00300EE8">
        <w:rPr>
          <w:szCs w:val="20"/>
        </w:rPr>
        <w:t>4а</w:t>
      </w:r>
      <w:r w:rsidR="00813F4C" w:rsidRPr="00300EE8">
        <w:rPr>
          <w:szCs w:val="20"/>
        </w:rPr>
        <w:t>, код ЄДРПОУ 14305909</w:t>
      </w:r>
      <w:r w:rsidR="00627F21" w:rsidRPr="00300EE8">
        <w:rPr>
          <w:szCs w:val="20"/>
        </w:rPr>
        <w:t>.</w:t>
      </w:r>
    </w:p>
    <w:p w14:paraId="270451C6" w14:textId="77777777" w:rsidR="00A216FC" w:rsidRPr="00300EE8" w:rsidRDefault="00A216FC" w:rsidP="003A317B">
      <w:pPr>
        <w:spacing w:after="0" w:line="240" w:lineRule="auto"/>
        <w:ind w:left="0" w:firstLine="0"/>
        <w:rPr>
          <w:b/>
          <w:szCs w:val="20"/>
        </w:rPr>
      </w:pPr>
    </w:p>
    <w:p w14:paraId="538EFAB8" w14:textId="1D441B89" w:rsidR="00D33902" w:rsidRPr="00300EE8" w:rsidRDefault="00D33902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b/>
          <w:szCs w:val="20"/>
        </w:rPr>
        <w:t>Виконане Завдання</w:t>
      </w:r>
      <w:r w:rsidRPr="00300EE8">
        <w:rPr>
          <w:szCs w:val="20"/>
        </w:rPr>
        <w:t xml:space="preserve"> – Завдання вважається виконаним, якщо Потенційний клієнт скористався Послугою Банку, яка вказана в Заявці, на умовах, визначених пунктом 2.1</w:t>
      </w:r>
      <w:r w:rsidR="00D44D6C" w:rsidRPr="00300EE8">
        <w:rPr>
          <w:szCs w:val="20"/>
        </w:rPr>
        <w:t>.</w:t>
      </w:r>
      <w:r w:rsidRPr="00300EE8">
        <w:rPr>
          <w:szCs w:val="20"/>
        </w:rPr>
        <w:t xml:space="preserve"> Публічної обіцянки винагород</w:t>
      </w:r>
      <w:r w:rsidR="0074346F" w:rsidRPr="00300EE8">
        <w:rPr>
          <w:szCs w:val="20"/>
        </w:rPr>
        <w:t>и</w:t>
      </w:r>
      <w:r w:rsidR="005C4D7A" w:rsidRPr="00300EE8">
        <w:rPr>
          <w:szCs w:val="20"/>
        </w:rPr>
        <w:t xml:space="preserve"> та Заявка на</w:t>
      </w:r>
      <w:r w:rsidR="00A53602" w:rsidRPr="00300EE8">
        <w:rPr>
          <w:szCs w:val="20"/>
        </w:rPr>
        <w:t>б</w:t>
      </w:r>
      <w:r w:rsidR="005C4D7A" w:rsidRPr="00300EE8">
        <w:rPr>
          <w:szCs w:val="20"/>
        </w:rPr>
        <w:t>ула статусу «До виплати»</w:t>
      </w:r>
      <w:r w:rsidRPr="00300EE8">
        <w:rPr>
          <w:szCs w:val="20"/>
        </w:rPr>
        <w:t>.</w:t>
      </w:r>
    </w:p>
    <w:p w14:paraId="7A6F0F5B" w14:textId="72BA1981" w:rsidR="005F008A" w:rsidRPr="00300EE8" w:rsidRDefault="005F008A" w:rsidP="003A317B">
      <w:pPr>
        <w:spacing w:after="0" w:line="240" w:lineRule="auto"/>
        <w:ind w:left="0" w:firstLine="0"/>
        <w:rPr>
          <w:szCs w:val="20"/>
        </w:rPr>
      </w:pPr>
    </w:p>
    <w:p w14:paraId="2F3554CA" w14:textId="564E131F" w:rsidR="00D33902" w:rsidRPr="00300EE8" w:rsidRDefault="00D33902" w:rsidP="003A317B">
      <w:pPr>
        <w:spacing w:after="0" w:line="240" w:lineRule="auto"/>
        <w:ind w:left="0" w:firstLine="0"/>
        <w:rPr>
          <w:b/>
          <w:szCs w:val="20"/>
        </w:rPr>
      </w:pPr>
      <w:r w:rsidRPr="00300EE8">
        <w:rPr>
          <w:b/>
          <w:szCs w:val="20"/>
        </w:rPr>
        <w:t>Винагорода</w:t>
      </w:r>
      <w:r w:rsidRPr="00300EE8">
        <w:rPr>
          <w:szCs w:val="20"/>
        </w:rPr>
        <w:t xml:space="preserve"> - </w:t>
      </w:r>
      <w:r w:rsidR="00445C87" w:rsidRPr="00300EE8">
        <w:rPr>
          <w:szCs w:val="20"/>
        </w:rPr>
        <w:t>грошова сума, що виплачується Банком Партнеру</w:t>
      </w:r>
      <w:r w:rsidRPr="00300EE8">
        <w:rPr>
          <w:szCs w:val="20"/>
        </w:rPr>
        <w:t xml:space="preserve"> на його поточний</w:t>
      </w:r>
      <w:r w:rsidR="0018037E" w:rsidRPr="00300EE8">
        <w:rPr>
          <w:szCs w:val="20"/>
        </w:rPr>
        <w:t xml:space="preserve"> або картковий</w:t>
      </w:r>
      <w:r w:rsidRPr="00300EE8">
        <w:rPr>
          <w:szCs w:val="20"/>
        </w:rPr>
        <w:t xml:space="preserve"> рахунок, відкритий в Банку, за Виконане Завдання.</w:t>
      </w:r>
    </w:p>
    <w:p w14:paraId="41DCED78" w14:textId="77777777" w:rsidR="00D33902" w:rsidRPr="00300EE8" w:rsidRDefault="00D33902" w:rsidP="003A317B">
      <w:pPr>
        <w:spacing w:after="0" w:line="240" w:lineRule="auto"/>
        <w:ind w:left="0" w:firstLine="0"/>
        <w:rPr>
          <w:b/>
          <w:szCs w:val="20"/>
        </w:rPr>
      </w:pPr>
    </w:p>
    <w:p w14:paraId="1EC9BB48" w14:textId="3328052F" w:rsidR="00D33902" w:rsidRPr="00300EE8" w:rsidRDefault="00D33902" w:rsidP="003A317B">
      <w:pPr>
        <w:spacing w:after="0" w:line="240" w:lineRule="auto"/>
        <w:ind w:left="0" w:hanging="8"/>
        <w:rPr>
          <w:szCs w:val="20"/>
        </w:rPr>
      </w:pPr>
      <w:r w:rsidRPr="00300EE8">
        <w:rPr>
          <w:b/>
          <w:szCs w:val="20"/>
        </w:rPr>
        <w:t>Завдання</w:t>
      </w:r>
      <w:r w:rsidRPr="00300EE8">
        <w:rPr>
          <w:szCs w:val="20"/>
        </w:rPr>
        <w:t xml:space="preserve"> – самостійний пошук Потенційного клієнта </w:t>
      </w:r>
      <w:r w:rsidR="005830DB" w:rsidRPr="00300EE8">
        <w:rPr>
          <w:szCs w:val="20"/>
        </w:rPr>
        <w:t>для подальшого відкриття Потенційним клієнтом Рахунку з урахуванням умов п.2.</w:t>
      </w:r>
      <w:r w:rsidR="0074346F" w:rsidRPr="00300EE8">
        <w:rPr>
          <w:szCs w:val="20"/>
        </w:rPr>
        <w:t>1</w:t>
      </w:r>
      <w:r w:rsidR="005830DB" w:rsidRPr="00300EE8">
        <w:rPr>
          <w:szCs w:val="20"/>
        </w:rPr>
        <w:t xml:space="preserve">. та з дотриманням всіх умов, зазначених в Публічній обіцянці винагороди, </w:t>
      </w:r>
      <w:r w:rsidRPr="00300EE8">
        <w:rPr>
          <w:szCs w:val="20"/>
        </w:rPr>
        <w:t>та надання Банку інформації про нього</w:t>
      </w:r>
      <w:r w:rsidR="006A7625" w:rsidRPr="00300EE8">
        <w:rPr>
          <w:szCs w:val="20"/>
        </w:rPr>
        <w:t xml:space="preserve">. </w:t>
      </w:r>
    </w:p>
    <w:p w14:paraId="4954C807" w14:textId="77777777" w:rsidR="00D33902" w:rsidRPr="00300EE8" w:rsidRDefault="00D33902" w:rsidP="003A317B">
      <w:pPr>
        <w:spacing w:after="0" w:line="240" w:lineRule="auto"/>
        <w:ind w:left="0" w:firstLine="0"/>
        <w:rPr>
          <w:b/>
          <w:szCs w:val="20"/>
        </w:rPr>
      </w:pPr>
    </w:p>
    <w:p w14:paraId="3C226E95" w14:textId="18734FC1" w:rsidR="00D33902" w:rsidRPr="00300EE8" w:rsidRDefault="00D33902" w:rsidP="003A317B">
      <w:pPr>
        <w:spacing w:after="0" w:line="240" w:lineRule="auto"/>
        <w:ind w:left="0" w:right="0" w:firstLine="0"/>
        <w:rPr>
          <w:rStyle w:val="a3"/>
          <w:rFonts w:eastAsia="Times New Roman" w:cs="Segoe UI"/>
          <w:color w:val="auto"/>
          <w:szCs w:val="20"/>
          <w:u w:val="none"/>
        </w:rPr>
      </w:pPr>
      <w:r w:rsidRPr="00300EE8">
        <w:rPr>
          <w:b/>
          <w:szCs w:val="20"/>
        </w:rPr>
        <w:t>Заявка</w:t>
      </w:r>
      <w:r w:rsidRPr="00300EE8">
        <w:rPr>
          <w:szCs w:val="20"/>
        </w:rPr>
        <w:t xml:space="preserve"> – інформація про Партнера, Потенційного клієнта, направлена через онлайн форму на сайті Банку за посиланням</w:t>
      </w:r>
      <w:r w:rsidR="009F3393" w:rsidRPr="00300EE8">
        <w:rPr>
          <w:rFonts w:cs="Segoe UI"/>
          <w:szCs w:val="20"/>
        </w:rPr>
        <w:t xml:space="preserve"> </w:t>
      </w:r>
      <w:hyperlink r:id="rId11" w:tgtFrame="_blank" w:tooltip="https://www.raiffeisen.ua/biznesu/klub-moj-biznes/stati-partnerom-banku" w:history="1">
        <w:r w:rsidR="009F3393" w:rsidRPr="00300EE8">
          <w:rPr>
            <w:rStyle w:val="a3"/>
            <w:rFonts w:cs="Segoe UI"/>
            <w:color w:val="auto"/>
            <w:szCs w:val="20"/>
            <w:u w:val="none"/>
          </w:rPr>
          <w:t>https://www.raiffeisen.ua/biznesu/klub-moj-biznes/stati-partnerom-banku</w:t>
        </w:r>
      </w:hyperlink>
      <w:r w:rsidR="00627F21" w:rsidRPr="00300EE8">
        <w:rPr>
          <w:rStyle w:val="a3"/>
          <w:rFonts w:cs="Segoe UI"/>
          <w:color w:val="auto"/>
          <w:szCs w:val="20"/>
          <w:u w:val="none"/>
        </w:rPr>
        <w:t>.</w:t>
      </w:r>
      <w:r w:rsidR="009F3393" w:rsidRPr="00300EE8">
        <w:rPr>
          <w:rFonts w:cs="Segoe UI"/>
          <w:szCs w:val="20"/>
        </w:rPr>
        <w:t xml:space="preserve"> </w:t>
      </w:r>
    </w:p>
    <w:p w14:paraId="221F427F" w14:textId="0254753C" w:rsidR="005830DB" w:rsidRPr="00300EE8" w:rsidRDefault="005830DB" w:rsidP="003A317B">
      <w:pPr>
        <w:spacing w:after="0" w:line="240" w:lineRule="auto"/>
        <w:ind w:left="0" w:firstLine="0"/>
        <w:rPr>
          <w:rStyle w:val="a3"/>
          <w:color w:val="auto"/>
          <w:szCs w:val="20"/>
          <w:lang w:eastAsia="en-US"/>
        </w:rPr>
      </w:pPr>
    </w:p>
    <w:p w14:paraId="7D2234AB" w14:textId="157398FD" w:rsidR="005830DB" w:rsidRPr="00300EE8" w:rsidRDefault="005830DB" w:rsidP="003A317B">
      <w:pPr>
        <w:spacing w:after="0" w:line="240" w:lineRule="auto"/>
        <w:ind w:left="0" w:firstLine="0"/>
        <w:rPr>
          <w:rStyle w:val="a3"/>
          <w:color w:val="auto"/>
          <w:szCs w:val="20"/>
        </w:rPr>
      </w:pPr>
      <w:r w:rsidRPr="00300EE8">
        <w:rPr>
          <w:b/>
          <w:szCs w:val="20"/>
        </w:rPr>
        <w:t>ІПН</w:t>
      </w:r>
      <w:r w:rsidRPr="00300EE8">
        <w:rPr>
          <w:szCs w:val="20"/>
        </w:rPr>
        <w:t xml:space="preserve"> - реєстраційний номер облікової картки платника податків фізичної особи</w:t>
      </w:r>
      <w:r w:rsidRPr="00300EE8">
        <w:rPr>
          <w:color w:val="auto"/>
          <w:szCs w:val="20"/>
        </w:rPr>
        <w:t>.</w:t>
      </w:r>
    </w:p>
    <w:p w14:paraId="20EF7E37" w14:textId="77777777" w:rsidR="00D33902" w:rsidRPr="00300EE8" w:rsidRDefault="00D33902" w:rsidP="003A317B">
      <w:pPr>
        <w:spacing w:after="0" w:line="240" w:lineRule="auto"/>
        <w:ind w:left="0" w:firstLine="0"/>
        <w:rPr>
          <w:b/>
          <w:szCs w:val="20"/>
        </w:rPr>
      </w:pPr>
    </w:p>
    <w:p w14:paraId="623F0338" w14:textId="14F9786B" w:rsidR="00EE035C" w:rsidRPr="00300EE8" w:rsidRDefault="00EE035C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b/>
          <w:szCs w:val="20"/>
        </w:rPr>
        <w:t>Партнер</w:t>
      </w:r>
      <w:r w:rsidRPr="00300EE8">
        <w:rPr>
          <w:szCs w:val="20"/>
        </w:rPr>
        <w:t xml:space="preserve"> – </w:t>
      </w:r>
      <w:r w:rsidR="000A0ABB" w:rsidRPr="00300EE8">
        <w:rPr>
          <w:szCs w:val="20"/>
        </w:rPr>
        <w:t>клієнт Банку (</w:t>
      </w:r>
      <w:r w:rsidRPr="00300EE8">
        <w:rPr>
          <w:szCs w:val="20"/>
        </w:rPr>
        <w:t>юридична особа, фізична особа-підприємець</w:t>
      </w:r>
      <w:r w:rsidR="00396B9D" w:rsidRPr="00300EE8">
        <w:rPr>
          <w:szCs w:val="20"/>
        </w:rPr>
        <w:t>, фізична особа</w:t>
      </w:r>
      <w:r w:rsidR="000A0ABB" w:rsidRPr="00300EE8">
        <w:rPr>
          <w:szCs w:val="20"/>
        </w:rPr>
        <w:t>)</w:t>
      </w:r>
      <w:r w:rsidRPr="00300EE8">
        <w:rPr>
          <w:szCs w:val="20"/>
        </w:rPr>
        <w:t>, як</w:t>
      </w:r>
      <w:r w:rsidR="000A0ABB" w:rsidRPr="00300EE8">
        <w:rPr>
          <w:szCs w:val="20"/>
        </w:rPr>
        <w:t xml:space="preserve">ий </w:t>
      </w:r>
      <w:r w:rsidRPr="00300EE8">
        <w:rPr>
          <w:szCs w:val="20"/>
        </w:rPr>
        <w:t xml:space="preserve">має відкритий </w:t>
      </w:r>
      <w:r w:rsidR="000A0ABB" w:rsidRPr="00300EE8">
        <w:rPr>
          <w:szCs w:val="20"/>
        </w:rPr>
        <w:t>поточний</w:t>
      </w:r>
      <w:r w:rsidR="00FC3F8D" w:rsidRPr="00300EE8">
        <w:rPr>
          <w:szCs w:val="20"/>
        </w:rPr>
        <w:t xml:space="preserve"> </w:t>
      </w:r>
      <w:r w:rsidR="00D35387" w:rsidRPr="00300EE8">
        <w:rPr>
          <w:szCs w:val="20"/>
        </w:rPr>
        <w:t xml:space="preserve">або картковий </w:t>
      </w:r>
      <w:r w:rsidRPr="00300EE8">
        <w:rPr>
          <w:szCs w:val="20"/>
        </w:rPr>
        <w:t>рахунок в Банку</w:t>
      </w:r>
      <w:r w:rsidR="000A0ABB" w:rsidRPr="00300EE8">
        <w:rPr>
          <w:szCs w:val="20"/>
        </w:rPr>
        <w:t xml:space="preserve">, </w:t>
      </w:r>
      <w:r w:rsidR="006A7625" w:rsidRPr="00300EE8">
        <w:rPr>
          <w:szCs w:val="20"/>
        </w:rPr>
        <w:t>відповідає вимогам, визначеним розділом 4</w:t>
      </w:r>
      <w:r w:rsidR="00627F21" w:rsidRPr="00300EE8">
        <w:rPr>
          <w:szCs w:val="20"/>
        </w:rPr>
        <w:t>.</w:t>
      </w:r>
      <w:r w:rsidR="006A7625" w:rsidRPr="00300EE8">
        <w:rPr>
          <w:szCs w:val="20"/>
        </w:rPr>
        <w:t xml:space="preserve"> Публічної обіцянки винагороди </w:t>
      </w:r>
      <w:r w:rsidR="000A0ABB" w:rsidRPr="00300EE8">
        <w:rPr>
          <w:szCs w:val="20"/>
        </w:rPr>
        <w:t xml:space="preserve">та </w:t>
      </w:r>
      <w:r w:rsidRPr="00300EE8">
        <w:rPr>
          <w:szCs w:val="20"/>
        </w:rPr>
        <w:t>як</w:t>
      </w:r>
      <w:r w:rsidR="000A0ABB" w:rsidRPr="00300EE8">
        <w:rPr>
          <w:szCs w:val="20"/>
        </w:rPr>
        <w:t>ий</w:t>
      </w:r>
      <w:r w:rsidRPr="00300EE8">
        <w:rPr>
          <w:szCs w:val="20"/>
        </w:rPr>
        <w:t xml:space="preserve"> з власної ініціативи прийня</w:t>
      </w:r>
      <w:r w:rsidR="000A0ABB" w:rsidRPr="00300EE8">
        <w:rPr>
          <w:szCs w:val="20"/>
        </w:rPr>
        <w:t>в</w:t>
      </w:r>
      <w:r w:rsidRPr="00300EE8">
        <w:rPr>
          <w:szCs w:val="20"/>
        </w:rPr>
        <w:t xml:space="preserve"> рішення взяти на себе виконання Завдання</w:t>
      </w:r>
      <w:r w:rsidR="00F9759E" w:rsidRPr="00300EE8">
        <w:rPr>
          <w:szCs w:val="20"/>
        </w:rPr>
        <w:t>.</w:t>
      </w:r>
    </w:p>
    <w:p w14:paraId="4EBDD227" w14:textId="77777777" w:rsidR="001D3AE4" w:rsidRPr="00300EE8" w:rsidRDefault="001D3AE4" w:rsidP="003A317B">
      <w:pPr>
        <w:spacing w:after="0" w:line="240" w:lineRule="auto"/>
        <w:ind w:left="0" w:hanging="8"/>
        <w:rPr>
          <w:b/>
          <w:szCs w:val="20"/>
        </w:rPr>
      </w:pPr>
    </w:p>
    <w:p w14:paraId="266B59E8" w14:textId="57497F17" w:rsidR="000A0ABB" w:rsidRPr="00300EE8" w:rsidRDefault="000A0ABB" w:rsidP="003A317B">
      <w:pPr>
        <w:spacing w:after="0" w:line="240" w:lineRule="auto"/>
        <w:ind w:left="0" w:hanging="8"/>
        <w:rPr>
          <w:szCs w:val="20"/>
        </w:rPr>
      </w:pPr>
      <w:r w:rsidRPr="00300EE8">
        <w:rPr>
          <w:b/>
          <w:szCs w:val="20"/>
        </w:rPr>
        <w:t>Послуги Банку</w:t>
      </w:r>
      <w:r w:rsidRPr="00300EE8">
        <w:rPr>
          <w:szCs w:val="20"/>
        </w:rPr>
        <w:t xml:space="preserve"> - </w:t>
      </w:r>
      <w:r w:rsidR="00D1279B" w:rsidRPr="00300EE8">
        <w:rPr>
          <w:szCs w:val="20"/>
        </w:rPr>
        <w:t>відкриття та обслуговування Рахунку</w:t>
      </w:r>
      <w:r w:rsidR="00E860B3" w:rsidRPr="00300EE8">
        <w:rPr>
          <w:szCs w:val="20"/>
        </w:rPr>
        <w:t xml:space="preserve"> у будь-якому з пакетів послуг: «Бізнес Класик», «Бізнес Комфорт», «Бізнес Еліт +»</w:t>
      </w:r>
      <w:r w:rsidR="00BF4B5C" w:rsidRPr="00300EE8">
        <w:rPr>
          <w:szCs w:val="20"/>
        </w:rPr>
        <w:t>, «BenefIT»</w:t>
      </w:r>
      <w:r w:rsidR="005E31A7" w:rsidRPr="00300EE8">
        <w:rPr>
          <w:szCs w:val="20"/>
        </w:rPr>
        <w:t>, «Business Direct</w:t>
      </w:r>
      <w:r w:rsidR="003E1915" w:rsidRPr="00300EE8">
        <w:rPr>
          <w:szCs w:val="20"/>
        </w:rPr>
        <w:t>»</w:t>
      </w:r>
      <w:r w:rsidRPr="00300EE8">
        <w:rPr>
          <w:szCs w:val="20"/>
        </w:rPr>
        <w:t>.</w:t>
      </w:r>
    </w:p>
    <w:p w14:paraId="50FEB4CF" w14:textId="77777777" w:rsidR="00A216FC" w:rsidRPr="00300EE8" w:rsidRDefault="00A216FC" w:rsidP="003A317B">
      <w:pPr>
        <w:spacing w:after="0" w:line="240" w:lineRule="auto"/>
        <w:ind w:left="0" w:firstLine="0"/>
        <w:rPr>
          <w:b/>
          <w:szCs w:val="20"/>
        </w:rPr>
      </w:pPr>
    </w:p>
    <w:p w14:paraId="7F64D598" w14:textId="3B093BD5" w:rsidR="00EE035C" w:rsidRPr="00300EE8" w:rsidRDefault="006B2F11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b/>
          <w:szCs w:val="20"/>
        </w:rPr>
        <w:t>Потенційний клієнт</w:t>
      </w:r>
      <w:r w:rsidR="00EE035C" w:rsidRPr="00300EE8">
        <w:rPr>
          <w:szCs w:val="20"/>
        </w:rPr>
        <w:t xml:space="preserve"> – юридична особа або </w:t>
      </w:r>
      <w:r w:rsidR="00DB5E81" w:rsidRPr="00300EE8">
        <w:rPr>
          <w:szCs w:val="20"/>
        </w:rPr>
        <w:t>фізична особа-підприємець</w:t>
      </w:r>
      <w:r w:rsidR="00EE035C" w:rsidRPr="00300EE8">
        <w:rPr>
          <w:szCs w:val="20"/>
        </w:rPr>
        <w:t xml:space="preserve">, </w:t>
      </w:r>
      <w:r w:rsidR="006A7625" w:rsidRPr="00300EE8">
        <w:rPr>
          <w:szCs w:val="20"/>
        </w:rPr>
        <w:t xml:space="preserve">які не мають відкритого </w:t>
      </w:r>
      <w:r w:rsidR="00D1279B" w:rsidRPr="00300EE8">
        <w:rPr>
          <w:szCs w:val="20"/>
        </w:rPr>
        <w:t>Р</w:t>
      </w:r>
      <w:r w:rsidR="006A7625" w:rsidRPr="00300EE8">
        <w:rPr>
          <w:szCs w:val="20"/>
        </w:rPr>
        <w:t xml:space="preserve">ахунку в Банку (на дату подання Заявки у Потенційного клієнта відсутній діючий договір банківського </w:t>
      </w:r>
      <w:r w:rsidR="00225DC9" w:rsidRPr="00300EE8">
        <w:rPr>
          <w:szCs w:val="20"/>
        </w:rPr>
        <w:t>обслуговування Р</w:t>
      </w:r>
      <w:r w:rsidR="006A7625" w:rsidRPr="00300EE8">
        <w:rPr>
          <w:szCs w:val="20"/>
        </w:rPr>
        <w:t xml:space="preserve">ахунку, укладений між ним та Банком) та </w:t>
      </w:r>
      <w:r w:rsidR="00EE035C" w:rsidRPr="00300EE8">
        <w:rPr>
          <w:szCs w:val="20"/>
        </w:rPr>
        <w:t xml:space="preserve">які виявили зацікавленість до </w:t>
      </w:r>
      <w:r w:rsidR="000A0ABB" w:rsidRPr="00300EE8">
        <w:rPr>
          <w:szCs w:val="20"/>
        </w:rPr>
        <w:t>Послуг Банку</w:t>
      </w:r>
      <w:r w:rsidR="00EE035C" w:rsidRPr="00300EE8">
        <w:rPr>
          <w:szCs w:val="20"/>
        </w:rPr>
        <w:t xml:space="preserve"> </w:t>
      </w:r>
      <w:r w:rsidR="006A7625" w:rsidRPr="00300EE8">
        <w:rPr>
          <w:szCs w:val="20"/>
        </w:rPr>
        <w:t>і</w:t>
      </w:r>
      <w:r w:rsidR="00EE035C" w:rsidRPr="00300EE8">
        <w:rPr>
          <w:szCs w:val="20"/>
        </w:rPr>
        <w:t xml:space="preserve"> планують скористатися такими послугами.</w:t>
      </w:r>
      <w:r w:rsidR="008A771A" w:rsidRPr="00300EE8">
        <w:rPr>
          <w:szCs w:val="20"/>
        </w:rPr>
        <w:t xml:space="preserve"> </w:t>
      </w:r>
    </w:p>
    <w:p w14:paraId="6D8CF611" w14:textId="599B3D60" w:rsidR="00A216FC" w:rsidRPr="00300EE8" w:rsidRDefault="00A216FC" w:rsidP="003A317B">
      <w:pPr>
        <w:spacing w:after="0" w:line="240" w:lineRule="auto"/>
        <w:ind w:left="0" w:firstLine="0"/>
        <w:rPr>
          <w:b/>
          <w:szCs w:val="20"/>
        </w:rPr>
      </w:pPr>
    </w:p>
    <w:p w14:paraId="5DDFFDA3" w14:textId="409BA7A7" w:rsidR="00606790" w:rsidRPr="00300EE8" w:rsidRDefault="008F1E96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b/>
          <w:szCs w:val="20"/>
        </w:rPr>
        <w:t>Повторна (дубльована) заявка</w:t>
      </w:r>
      <w:r w:rsidRPr="00300EE8">
        <w:rPr>
          <w:szCs w:val="20"/>
        </w:rPr>
        <w:t xml:space="preserve"> – Заявка з інформацією про Потенційного клієнта направлена в Банк більше 1 разу будь-яким Партнером.</w:t>
      </w:r>
    </w:p>
    <w:p w14:paraId="2E7B7721" w14:textId="6B16761E" w:rsidR="00A216FC" w:rsidRPr="00300EE8" w:rsidRDefault="00A216FC" w:rsidP="003A317B">
      <w:pPr>
        <w:spacing w:after="0" w:line="240" w:lineRule="auto"/>
        <w:ind w:left="0" w:firstLine="0"/>
        <w:rPr>
          <w:szCs w:val="20"/>
        </w:rPr>
      </w:pPr>
    </w:p>
    <w:p w14:paraId="57BE44D3" w14:textId="764443AB" w:rsidR="00D1279B" w:rsidRPr="00300EE8" w:rsidRDefault="00D1279B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b/>
          <w:bCs/>
          <w:szCs w:val="20"/>
        </w:rPr>
        <w:t xml:space="preserve">Рахунок </w:t>
      </w:r>
      <w:r w:rsidRPr="00300EE8">
        <w:rPr>
          <w:szCs w:val="20"/>
        </w:rPr>
        <w:t>– поточний або картковий рахунок в національній та/або іноземній валютах, які відкриваються Потенційним клієнтом в Банку.</w:t>
      </w:r>
    </w:p>
    <w:p w14:paraId="7C65494A" w14:textId="77777777" w:rsidR="00D1279B" w:rsidRPr="00300EE8" w:rsidRDefault="00D1279B" w:rsidP="003A317B">
      <w:pPr>
        <w:spacing w:after="0" w:line="240" w:lineRule="auto"/>
        <w:ind w:left="0" w:firstLine="0"/>
        <w:rPr>
          <w:szCs w:val="20"/>
        </w:rPr>
      </w:pPr>
    </w:p>
    <w:p w14:paraId="6764CC9F" w14:textId="70DF934F" w:rsidR="00827D5D" w:rsidRPr="00300EE8" w:rsidRDefault="00BF62AA" w:rsidP="003A317B">
      <w:pPr>
        <w:pStyle w:val="1"/>
        <w:numPr>
          <w:ilvl w:val="0"/>
          <w:numId w:val="0"/>
        </w:numPr>
        <w:spacing w:after="0" w:line="240" w:lineRule="auto"/>
        <w:jc w:val="both"/>
        <w:rPr>
          <w:szCs w:val="20"/>
        </w:rPr>
      </w:pPr>
      <w:r w:rsidRPr="00300EE8">
        <w:rPr>
          <w:szCs w:val="20"/>
        </w:rPr>
        <w:t xml:space="preserve">2. </w:t>
      </w:r>
      <w:r w:rsidR="008679FB" w:rsidRPr="00300EE8">
        <w:rPr>
          <w:szCs w:val="20"/>
        </w:rPr>
        <w:t>Завдання</w:t>
      </w:r>
    </w:p>
    <w:p w14:paraId="5F6EDE0C" w14:textId="77777777" w:rsidR="005421F6" w:rsidRPr="00300EE8" w:rsidRDefault="005421F6" w:rsidP="003A317B">
      <w:pPr>
        <w:spacing w:after="0" w:line="240" w:lineRule="auto"/>
        <w:ind w:left="0" w:firstLine="0"/>
        <w:rPr>
          <w:szCs w:val="20"/>
        </w:rPr>
      </w:pPr>
    </w:p>
    <w:p w14:paraId="0C1A9C4B" w14:textId="7A51E88E" w:rsidR="00F202DB" w:rsidRPr="00300EE8" w:rsidRDefault="00533751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 xml:space="preserve">2.1. </w:t>
      </w:r>
      <w:r w:rsidR="00F202DB" w:rsidRPr="00300EE8">
        <w:rPr>
          <w:szCs w:val="20"/>
        </w:rPr>
        <w:t>Банк, керуючись статтями 1144-1149 Цивільного кодексу України публічно обіцяє сплатити Винагороду Партнеру, що виконає Завдання (далі - Публічна обіцянка винагороди).</w:t>
      </w:r>
    </w:p>
    <w:p w14:paraId="73EAA975" w14:textId="77777777" w:rsidR="00F202DB" w:rsidRPr="00300EE8" w:rsidRDefault="00F202DB" w:rsidP="003A317B">
      <w:pPr>
        <w:spacing w:after="0" w:line="240" w:lineRule="auto"/>
        <w:ind w:left="0" w:firstLine="0"/>
        <w:rPr>
          <w:szCs w:val="20"/>
        </w:rPr>
      </w:pPr>
    </w:p>
    <w:p w14:paraId="6F89C84E" w14:textId="45C646B4" w:rsidR="00451F05" w:rsidRPr="00300EE8" w:rsidRDefault="00F202DB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 xml:space="preserve">Завдання, що має бути виконане Партнером для отримання Винагороди: </w:t>
      </w:r>
      <w:r w:rsidR="00115AF9" w:rsidRPr="00300EE8">
        <w:rPr>
          <w:szCs w:val="20"/>
        </w:rPr>
        <w:tab/>
      </w:r>
      <w:r w:rsidR="002E084D">
        <w:rPr>
          <w:szCs w:val="20"/>
        </w:rPr>
        <w:br/>
      </w:r>
      <w:r w:rsidR="002E084D">
        <w:rPr>
          <w:szCs w:val="20"/>
        </w:rPr>
        <w:br/>
      </w:r>
    </w:p>
    <w:p w14:paraId="015924D3" w14:textId="77777777" w:rsidR="000466AB" w:rsidRPr="00300EE8" w:rsidRDefault="000466AB" w:rsidP="003A317B">
      <w:pPr>
        <w:spacing w:after="0" w:line="240" w:lineRule="auto"/>
        <w:ind w:left="0" w:firstLine="0"/>
        <w:rPr>
          <w:szCs w:val="20"/>
        </w:rPr>
      </w:pPr>
    </w:p>
    <w:p w14:paraId="10C513D6" w14:textId="25CEF9D6" w:rsidR="00DB6B94" w:rsidRPr="00300EE8" w:rsidRDefault="00DB6B94" w:rsidP="00DB6B94">
      <w:pPr>
        <w:pStyle w:val="af0"/>
        <w:spacing w:before="0" w:beforeAutospacing="0" w:after="0" w:afterAutospacing="0"/>
        <w:jc w:val="both"/>
        <w:rPr>
          <w:rFonts w:ascii="Century Gothic" w:hAnsi="Century Gothic" w:cstheme="minorHAnsi"/>
          <w:sz w:val="20"/>
          <w:szCs w:val="20"/>
          <w:lang w:val="uk-UA"/>
        </w:rPr>
      </w:pPr>
      <w:r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lastRenderedPageBreak/>
        <w:t>на період з 01.</w:t>
      </w:r>
      <w:r w:rsidR="005824B2">
        <w:rPr>
          <w:rFonts w:ascii="Century Gothic" w:hAnsi="Century Gothic" w:cstheme="minorHAnsi"/>
          <w:b/>
          <w:bCs/>
          <w:sz w:val="20"/>
          <w:szCs w:val="20"/>
          <w:lang w:val="uk-UA"/>
        </w:rPr>
        <w:t>0</w:t>
      </w:r>
      <w:r w:rsidR="00191850">
        <w:rPr>
          <w:rFonts w:ascii="Century Gothic" w:hAnsi="Century Gothic" w:cstheme="minorHAnsi"/>
          <w:b/>
          <w:bCs/>
          <w:sz w:val="20"/>
          <w:szCs w:val="20"/>
          <w:lang w:val="uk-UA"/>
        </w:rPr>
        <w:t>5</w:t>
      </w:r>
      <w:r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t>.202</w:t>
      </w:r>
      <w:r w:rsidR="005824B2">
        <w:rPr>
          <w:rFonts w:ascii="Century Gothic" w:hAnsi="Century Gothic" w:cstheme="minorHAnsi"/>
          <w:b/>
          <w:bCs/>
          <w:sz w:val="20"/>
          <w:szCs w:val="20"/>
          <w:lang w:val="uk-UA"/>
        </w:rPr>
        <w:t>6</w:t>
      </w:r>
      <w:r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t xml:space="preserve"> по 3</w:t>
      </w:r>
      <w:r w:rsidR="00BA0A70" w:rsidRPr="00BA0A70">
        <w:rPr>
          <w:rFonts w:ascii="Century Gothic" w:hAnsi="Century Gothic" w:cstheme="minorHAnsi"/>
          <w:b/>
          <w:bCs/>
          <w:sz w:val="20"/>
          <w:szCs w:val="20"/>
        </w:rPr>
        <w:t>1</w:t>
      </w:r>
      <w:r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t>.</w:t>
      </w:r>
      <w:r w:rsidR="005824B2">
        <w:rPr>
          <w:rFonts w:ascii="Century Gothic" w:hAnsi="Century Gothic" w:cstheme="minorHAnsi"/>
          <w:b/>
          <w:bCs/>
          <w:sz w:val="20"/>
          <w:szCs w:val="20"/>
          <w:lang w:val="uk-UA"/>
        </w:rPr>
        <w:t>0</w:t>
      </w:r>
      <w:r w:rsidR="00BA0A70" w:rsidRPr="00BA0A70">
        <w:rPr>
          <w:rFonts w:ascii="Century Gothic" w:hAnsi="Century Gothic" w:cstheme="minorHAnsi"/>
          <w:b/>
          <w:bCs/>
          <w:sz w:val="20"/>
          <w:szCs w:val="20"/>
        </w:rPr>
        <w:t>5</w:t>
      </w:r>
      <w:r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t>.202</w:t>
      </w:r>
      <w:r w:rsidR="005824B2">
        <w:rPr>
          <w:rFonts w:ascii="Century Gothic" w:hAnsi="Century Gothic" w:cstheme="minorHAnsi"/>
          <w:b/>
          <w:bCs/>
          <w:sz w:val="20"/>
          <w:szCs w:val="20"/>
          <w:lang w:val="uk-UA"/>
        </w:rPr>
        <w:t>6</w:t>
      </w:r>
      <w:r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t xml:space="preserve"> (включно)</w:t>
      </w:r>
    </w:p>
    <w:tbl>
      <w:tblPr>
        <w:tblW w:w="10773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"/>
        <w:gridCol w:w="4669"/>
        <w:gridCol w:w="3969"/>
        <w:gridCol w:w="1701"/>
      </w:tblGrid>
      <w:tr w:rsidR="00DB6B94" w:rsidRPr="00300EE8" w14:paraId="57C9C2F8" w14:textId="77777777" w:rsidTr="000466AB">
        <w:trPr>
          <w:tblCellSpacing w:w="0" w:type="dxa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6B787" w14:textId="77777777" w:rsidR="00DB6B94" w:rsidRPr="00300EE8" w:rsidRDefault="00DB6B94">
            <w:pPr>
              <w:pStyle w:val="af0"/>
              <w:jc w:val="center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№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BBE7C" w14:textId="77777777" w:rsidR="00DB6B94" w:rsidRPr="00300EE8" w:rsidRDefault="00DB6B94">
            <w:pPr>
              <w:pStyle w:val="af0"/>
              <w:jc w:val="center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79268" w14:textId="77777777" w:rsidR="00DB6B94" w:rsidRPr="00300EE8" w:rsidRDefault="00DB6B94">
            <w:pPr>
              <w:pStyle w:val="af0"/>
              <w:jc w:val="center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Розмір винагороди*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88742" w14:textId="77777777" w:rsidR="00DB6B94" w:rsidRPr="00300EE8" w:rsidRDefault="00DB6B94">
            <w:pPr>
              <w:pStyle w:val="af0"/>
              <w:jc w:val="center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Момент виконання Завдання</w:t>
            </w:r>
          </w:p>
        </w:tc>
      </w:tr>
      <w:tr w:rsidR="00DB6B94" w:rsidRPr="00300EE8" w14:paraId="32D7CFFB" w14:textId="77777777" w:rsidTr="000466AB">
        <w:trPr>
          <w:tblCellSpacing w:w="0" w:type="dxa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995AF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1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04281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Залучений потенційний клієнт повинен:</w:t>
            </w:r>
          </w:p>
          <w:p w14:paraId="0103FFF2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укласти з Банком договір банківського обслуговування Рахунку;</w:t>
            </w:r>
          </w:p>
          <w:p w14:paraId="117E996B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відкрити у Банку Рахунок у будь-якому з пакетів послуг: «Бізнес Класик», «Бізнес Комфорт», «Бізнес Еліт +», «BenefIT», «Business Direct»;</w:t>
            </w:r>
          </w:p>
          <w:p w14:paraId="40D061AF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сплатити хоча б один раз щомісячну плату за користування пакетом послуг, в якому обслуговується Рахунок, або забезпечити хоча б одну операцію по Рахунку протягом 60 календарних днів з моменту набуття Заявкою статусу «В роботі» (за виключенням операцій за участю Банку).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04451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- 700 (сімсот) гривень, якщо Потенційний клієнт – фізична особа-підприємець, кількість виконаних Заявок від Партнера (по клієнтам фізична особа-підприємець) зі статусом «До виплати» або «Виплачено» в поточному календарному році необмежена.</w:t>
            </w:r>
          </w:p>
          <w:p w14:paraId="5D898907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- 900 (дев’ятсот) гривень, якщо Потенційний клієнт – юридична особа, кількість виконаних Заявок від Партнера (по клієнтам юридична особа) зі статусом «До виплати» або «Виплачено» в поточному календарному році необмежена.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AB4D4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Набуття Заявкою статусу «До виплати».</w:t>
            </w:r>
          </w:p>
        </w:tc>
      </w:tr>
    </w:tbl>
    <w:p w14:paraId="1C52950C" w14:textId="77777777" w:rsidR="00DB6B94" w:rsidRPr="00300EE8" w:rsidRDefault="00DB6B94" w:rsidP="00DB6B94">
      <w:pPr>
        <w:pStyle w:val="af0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uk-UA"/>
        </w:rPr>
      </w:pPr>
    </w:p>
    <w:p w14:paraId="272CAC73" w14:textId="008753CF" w:rsidR="00DB6B94" w:rsidRPr="00300EE8" w:rsidRDefault="00DB6B94" w:rsidP="00DB6B94">
      <w:pPr>
        <w:pStyle w:val="af0"/>
        <w:spacing w:before="0" w:beforeAutospacing="0" w:after="0" w:afterAutospacing="0"/>
        <w:jc w:val="both"/>
        <w:rPr>
          <w:rFonts w:ascii="Century Gothic" w:hAnsi="Century Gothic" w:cstheme="minorHAnsi"/>
          <w:sz w:val="20"/>
          <w:szCs w:val="20"/>
          <w:lang w:val="uk-UA"/>
        </w:rPr>
      </w:pPr>
      <w:r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t>на період з 0</w:t>
      </w:r>
      <w:r w:rsidR="005824B2">
        <w:rPr>
          <w:rFonts w:ascii="Century Gothic" w:hAnsi="Century Gothic" w:cstheme="minorHAnsi"/>
          <w:b/>
          <w:bCs/>
          <w:sz w:val="20"/>
          <w:szCs w:val="20"/>
          <w:lang w:val="uk-UA"/>
        </w:rPr>
        <w:t>1</w:t>
      </w:r>
      <w:r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t>.</w:t>
      </w:r>
      <w:r w:rsidR="004B2F12"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t>0</w:t>
      </w:r>
      <w:r w:rsidR="00BA0A70">
        <w:rPr>
          <w:rFonts w:ascii="Century Gothic" w:hAnsi="Century Gothic" w:cstheme="minorHAnsi"/>
          <w:b/>
          <w:bCs/>
          <w:sz w:val="20"/>
          <w:szCs w:val="20"/>
          <w:lang w:val="en-US"/>
        </w:rPr>
        <w:t>6</w:t>
      </w:r>
      <w:r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t>.202</w:t>
      </w:r>
      <w:r w:rsidR="004B2F12" w:rsidRPr="00300EE8">
        <w:rPr>
          <w:rFonts w:ascii="Century Gothic" w:hAnsi="Century Gothic" w:cstheme="minorHAnsi"/>
          <w:b/>
          <w:bCs/>
          <w:sz w:val="20"/>
          <w:szCs w:val="20"/>
          <w:lang w:val="uk-UA"/>
        </w:rPr>
        <w:t>6</w:t>
      </w:r>
    </w:p>
    <w:tbl>
      <w:tblPr>
        <w:tblW w:w="10773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"/>
        <w:gridCol w:w="4669"/>
        <w:gridCol w:w="3969"/>
        <w:gridCol w:w="1701"/>
      </w:tblGrid>
      <w:tr w:rsidR="00DB6B94" w:rsidRPr="00300EE8" w14:paraId="652B657D" w14:textId="77777777" w:rsidTr="000466AB">
        <w:trPr>
          <w:tblCellSpacing w:w="0" w:type="dxa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8F5E" w14:textId="77777777" w:rsidR="00DB6B94" w:rsidRPr="00300EE8" w:rsidRDefault="00DB6B94">
            <w:pPr>
              <w:pStyle w:val="af0"/>
              <w:jc w:val="center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№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EFF2" w14:textId="77777777" w:rsidR="00DB6B94" w:rsidRPr="00300EE8" w:rsidRDefault="00DB6B94">
            <w:pPr>
              <w:pStyle w:val="af0"/>
              <w:jc w:val="center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1F36" w14:textId="77777777" w:rsidR="00DB6B94" w:rsidRPr="00300EE8" w:rsidRDefault="00DB6B94">
            <w:pPr>
              <w:pStyle w:val="af0"/>
              <w:jc w:val="center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Розмір винагороди*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C1DAE" w14:textId="77777777" w:rsidR="00DB6B94" w:rsidRPr="00300EE8" w:rsidRDefault="00DB6B94">
            <w:pPr>
              <w:pStyle w:val="af0"/>
              <w:jc w:val="center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Момент виконання Завдання</w:t>
            </w:r>
          </w:p>
        </w:tc>
      </w:tr>
      <w:tr w:rsidR="00DB6B94" w:rsidRPr="00300EE8" w14:paraId="41ECF427" w14:textId="77777777" w:rsidTr="000466AB">
        <w:trPr>
          <w:tblCellSpacing w:w="0" w:type="dxa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15EFA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1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56C3E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Залучений потенційний клієнт повинен:</w:t>
            </w:r>
          </w:p>
          <w:p w14:paraId="5416750B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укласти з Банком договір банківського обслуговування Рахунку;</w:t>
            </w:r>
          </w:p>
          <w:p w14:paraId="7C94FDD6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відкрити у Банку Рахунок у будь-якому з пакетів послуг: «Бізнес Класик», «Бізнес Комфорт», «Бізнес Еліт +», «BenefIT», «Business Direct»;</w:t>
            </w:r>
          </w:p>
          <w:p w14:paraId="7ADAE895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сплатити хоча б один раз щомісячну плату за користування пакетом послуг, в якому обслуговується Рахунок, або забезпечити хоча б одну операцію по Рахунку протягом 60 календарних днів з моменту набуття Заявкою статусу «В роботі» (за виключенням операцій за участю Банку).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9A76C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- 300 (триста) гривень, якщо Потенційний клієнт – фізична особа-підприємець, кількість Заявок від Партнера (по клієнтам фізична особа-підприємець) зі статусом «До виплати» або «Виплачено» в поточному календарному році від 1 (однієї) до 5 (п’яти) штук.</w:t>
            </w:r>
          </w:p>
          <w:p w14:paraId="6238A77C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- 600 (шістсот) гривень, якщо Потенційний клієнт – фізична особа-підприємець, кількість Заявок від Партнера (по клієнтам фізична особа-підприємець) зі статусом «До виплати» або «Виплачено» в поточному календарному році від 6 (шести) до 9 (дев’яти) штук.</w:t>
            </w:r>
          </w:p>
          <w:p w14:paraId="327E244D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 xml:space="preserve">- 700 (сімсот) гривень, якщо Потенційний клієнт – фізична особа-підприємець, кількість Заявок від Партнера (по клієнтам фізична особа-підприємець) зі статусом «До виплати» або «Виплачено» в </w:t>
            </w: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lastRenderedPageBreak/>
              <w:t>поточному календарному році більша 10 (десяти) штук включно.</w:t>
            </w:r>
          </w:p>
          <w:p w14:paraId="2C437929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- 500 (п’ятсот) гривень, якщо Потенційний клієнт – юридична особа, кількість Заявок від Партнера (по клієнтам юридична особа) зі статусом «До виплати» або «Виплачено» в поточному календарному році 1 (одна) штука.</w:t>
            </w:r>
          </w:p>
          <w:p w14:paraId="338BF5E8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- 700 (сімсот) гривень, якщо Потенційний клієнт – юридична особа, кількість Заявок від Партнера (по клієнтам юридична особа) зі статусом «До виплати» або «Виплачено» в поточному календарному році від 2 (двох) до 5 (п’яти) штук.</w:t>
            </w:r>
          </w:p>
          <w:p w14:paraId="1B65A139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t>- 900 (дев’ятсот) гривень, якщо Потенційний клієнт – юридична особа, кількість Заявок від Партнера (по клієнтам юридична особа) зі статусом «До виплати» або «Виплачено» в поточному календарному році більша 6 (шести) штук включно.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6B650" w14:textId="77777777" w:rsidR="00DB6B94" w:rsidRPr="00300EE8" w:rsidRDefault="00DB6B94">
            <w:pPr>
              <w:pStyle w:val="af0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300EE8">
              <w:rPr>
                <w:rFonts w:ascii="Century Gothic" w:hAnsi="Century Gothic"/>
                <w:sz w:val="20"/>
                <w:szCs w:val="20"/>
                <w:lang w:val="uk-UA"/>
              </w:rPr>
              <w:lastRenderedPageBreak/>
              <w:t>Набуття Заявкою статусу «До виплати».</w:t>
            </w:r>
          </w:p>
        </w:tc>
      </w:tr>
    </w:tbl>
    <w:p w14:paraId="116097B7" w14:textId="77777777" w:rsidR="009A185A" w:rsidRPr="00300EE8" w:rsidRDefault="009A185A" w:rsidP="004B73D6">
      <w:pPr>
        <w:pStyle w:val="af0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uk-UA"/>
        </w:rPr>
      </w:pPr>
    </w:p>
    <w:p w14:paraId="3D90FF35" w14:textId="77777777" w:rsidR="00F202DB" w:rsidRPr="00300EE8" w:rsidRDefault="00F202DB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* Сума зазначена з урахуванням податків та зборів згідно з вимога</w:t>
      </w:r>
      <w:r w:rsidRPr="00300EE8">
        <w:rPr>
          <w:iCs/>
          <w:szCs w:val="20"/>
        </w:rPr>
        <w:t>ми законодавства України</w:t>
      </w:r>
      <w:r w:rsidRPr="00300EE8">
        <w:rPr>
          <w:szCs w:val="20"/>
        </w:rPr>
        <w:t>.</w:t>
      </w:r>
    </w:p>
    <w:p w14:paraId="7E9B6745" w14:textId="77777777" w:rsidR="00F202DB" w:rsidRPr="00300EE8" w:rsidRDefault="00F202DB" w:rsidP="003A317B">
      <w:pPr>
        <w:spacing w:after="0" w:line="240" w:lineRule="auto"/>
        <w:ind w:left="0" w:firstLine="0"/>
        <w:rPr>
          <w:szCs w:val="20"/>
        </w:rPr>
      </w:pPr>
    </w:p>
    <w:p w14:paraId="2AD5CC29" w14:textId="77777777" w:rsidR="00F202DB" w:rsidRPr="00300EE8" w:rsidRDefault="00F202DB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 xml:space="preserve">Завдання може бути виконане необмежену кількість разів. </w:t>
      </w:r>
    </w:p>
    <w:p w14:paraId="670611BD" w14:textId="77777777" w:rsidR="00F202DB" w:rsidRPr="00300EE8" w:rsidRDefault="00F202DB" w:rsidP="003A317B">
      <w:pPr>
        <w:spacing w:after="0" w:line="240" w:lineRule="auto"/>
        <w:ind w:left="0" w:firstLine="0"/>
        <w:rPr>
          <w:szCs w:val="20"/>
        </w:rPr>
      </w:pPr>
    </w:p>
    <w:p w14:paraId="6EE37F7C" w14:textId="77777777" w:rsidR="00F202DB" w:rsidRPr="00300EE8" w:rsidRDefault="00F202DB" w:rsidP="003A317B">
      <w:pPr>
        <w:spacing w:after="0" w:line="240" w:lineRule="auto"/>
        <w:ind w:left="0" w:right="0" w:firstLine="0"/>
        <w:rPr>
          <w:szCs w:val="20"/>
        </w:rPr>
      </w:pPr>
      <w:r w:rsidRPr="00300EE8">
        <w:rPr>
          <w:szCs w:val="20"/>
        </w:rPr>
        <w:t xml:space="preserve">Публічна обіцянка винагороди починає діяти з дати її оприлюднення на сайті Банку </w:t>
      </w:r>
      <w:hyperlink r:id="rId12" w:history="1">
        <w:r w:rsidRPr="00300EE8">
          <w:rPr>
            <w:rStyle w:val="a3"/>
            <w:rFonts w:cs="Segoe UI"/>
            <w:color w:val="auto"/>
            <w:szCs w:val="20"/>
            <w:u w:val="none"/>
          </w:rPr>
          <w:t>https://www.raiffeisen.ua</w:t>
        </w:r>
      </w:hyperlink>
      <w:r w:rsidRPr="00300EE8">
        <w:rPr>
          <w:rFonts w:cs="Segoe UI"/>
          <w:szCs w:val="20"/>
        </w:rPr>
        <w:t xml:space="preserve"> </w:t>
      </w:r>
      <w:r w:rsidRPr="00300EE8">
        <w:rPr>
          <w:szCs w:val="20"/>
        </w:rPr>
        <w:t>(надалі – Сайт Банку) для невизначеного кола Партнерів, що відповідають вимогам, визначеним в пункті 4. цієї Публічної обіцянки винагороди.</w:t>
      </w:r>
    </w:p>
    <w:p w14:paraId="36EAE49B" w14:textId="77777777" w:rsidR="00A216FC" w:rsidRPr="00300EE8" w:rsidRDefault="00A216FC" w:rsidP="003A317B">
      <w:pPr>
        <w:spacing w:after="0" w:line="240" w:lineRule="auto"/>
        <w:ind w:left="0" w:firstLine="0"/>
        <w:rPr>
          <w:szCs w:val="20"/>
        </w:rPr>
      </w:pPr>
    </w:p>
    <w:p w14:paraId="3766194A" w14:textId="46A4AF6E" w:rsidR="00F35913" w:rsidRPr="00300EE8" w:rsidRDefault="00F35913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2.2. Банк має право змінювати</w:t>
      </w:r>
      <w:r w:rsidR="00276CD3" w:rsidRPr="00300EE8">
        <w:rPr>
          <w:szCs w:val="20"/>
        </w:rPr>
        <w:t>/доповнювати</w:t>
      </w:r>
      <w:r w:rsidRPr="00300EE8">
        <w:rPr>
          <w:szCs w:val="20"/>
        </w:rPr>
        <w:t xml:space="preserve"> умови даної Публічної обіцянки винагороди. </w:t>
      </w:r>
      <w:r w:rsidR="00276CD3" w:rsidRPr="00300EE8">
        <w:rPr>
          <w:szCs w:val="20"/>
        </w:rPr>
        <w:t xml:space="preserve">Такі зміни та/або доповнення набувають чинності з моменту їх розміщення на </w:t>
      </w:r>
      <w:r w:rsidR="00FC2BE3" w:rsidRPr="00300EE8">
        <w:rPr>
          <w:szCs w:val="20"/>
        </w:rPr>
        <w:t>С</w:t>
      </w:r>
      <w:r w:rsidR="00276CD3" w:rsidRPr="00300EE8">
        <w:rPr>
          <w:szCs w:val="20"/>
        </w:rPr>
        <w:t>айті Банка, якщо інше не буде спеціально визначене безпосередньо змінами/доповненнями до цієї Публічної обіцянки винагороди.</w:t>
      </w:r>
    </w:p>
    <w:p w14:paraId="559852A7" w14:textId="77777777" w:rsidR="00A216FC" w:rsidRPr="00300EE8" w:rsidRDefault="00A216FC" w:rsidP="003A317B">
      <w:pPr>
        <w:spacing w:after="0" w:line="240" w:lineRule="auto"/>
        <w:rPr>
          <w:szCs w:val="20"/>
        </w:rPr>
      </w:pPr>
    </w:p>
    <w:p w14:paraId="04C376C8" w14:textId="24010137" w:rsidR="00F35913" w:rsidRPr="00300EE8" w:rsidRDefault="00F35913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>2.3. Партнер вправі відмовитися від виконання Завдання на будь-якій його стадії виконання.</w:t>
      </w:r>
    </w:p>
    <w:p w14:paraId="3495E6FF" w14:textId="77777777" w:rsidR="00396B9D" w:rsidRPr="00300EE8" w:rsidRDefault="00396B9D" w:rsidP="003A317B">
      <w:pPr>
        <w:spacing w:after="0" w:line="240" w:lineRule="auto"/>
        <w:rPr>
          <w:szCs w:val="20"/>
        </w:rPr>
      </w:pPr>
    </w:p>
    <w:p w14:paraId="59B096DE" w14:textId="2CAA32CB" w:rsidR="00E96389" w:rsidRPr="00300EE8" w:rsidRDefault="008E5121" w:rsidP="003A317B">
      <w:pPr>
        <w:pStyle w:val="1"/>
        <w:numPr>
          <w:ilvl w:val="0"/>
          <w:numId w:val="0"/>
        </w:numPr>
        <w:spacing w:after="0" w:line="240" w:lineRule="auto"/>
        <w:jc w:val="both"/>
        <w:rPr>
          <w:szCs w:val="20"/>
        </w:rPr>
      </w:pPr>
      <w:r w:rsidRPr="00300EE8">
        <w:rPr>
          <w:szCs w:val="20"/>
        </w:rPr>
        <w:t xml:space="preserve">3. </w:t>
      </w:r>
      <w:r w:rsidR="00160BDE" w:rsidRPr="00300EE8">
        <w:rPr>
          <w:szCs w:val="20"/>
        </w:rPr>
        <w:t xml:space="preserve">Територія та строки </w:t>
      </w:r>
      <w:r w:rsidR="00DE23A9" w:rsidRPr="00300EE8">
        <w:rPr>
          <w:szCs w:val="20"/>
        </w:rPr>
        <w:t>дії</w:t>
      </w:r>
    </w:p>
    <w:p w14:paraId="34CA7F68" w14:textId="77777777" w:rsidR="005421F6" w:rsidRPr="00300EE8" w:rsidRDefault="005421F6" w:rsidP="003A317B">
      <w:pPr>
        <w:spacing w:after="0" w:line="240" w:lineRule="auto"/>
        <w:ind w:left="0" w:right="1" w:firstLine="0"/>
        <w:rPr>
          <w:szCs w:val="20"/>
        </w:rPr>
      </w:pPr>
    </w:p>
    <w:p w14:paraId="6698B609" w14:textId="2156BC93" w:rsidR="00E96389" w:rsidRPr="00300EE8" w:rsidRDefault="00F35913" w:rsidP="003A317B">
      <w:pPr>
        <w:spacing w:after="0" w:line="240" w:lineRule="auto"/>
        <w:ind w:left="0" w:right="1" w:firstLine="0"/>
        <w:rPr>
          <w:szCs w:val="20"/>
        </w:rPr>
      </w:pPr>
      <w:r w:rsidRPr="00300EE8">
        <w:rPr>
          <w:szCs w:val="20"/>
        </w:rPr>
        <w:t>3</w:t>
      </w:r>
      <w:r w:rsidR="00160BDE" w:rsidRPr="00300EE8">
        <w:rPr>
          <w:szCs w:val="20"/>
        </w:rPr>
        <w:t>.1.</w:t>
      </w:r>
      <w:r w:rsidR="00160BDE" w:rsidRPr="00300EE8">
        <w:rPr>
          <w:rFonts w:eastAsia="Arial" w:cs="Arial"/>
          <w:szCs w:val="20"/>
        </w:rPr>
        <w:t xml:space="preserve"> </w:t>
      </w:r>
      <w:r w:rsidRPr="00300EE8">
        <w:rPr>
          <w:szCs w:val="20"/>
        </w:rPr>
        <w:t xml:space="preserve">Публічна </w:t>
      </w:r>
      <w:r w:rsidR="00FC2BE3" w:rsidRPr="00300EE8">
        <w:rPr>
          <w:szCs w:val="20"/>
        </w:rPr>
        <w:t xml:space="preserve">обіцянка </w:t>
      </w:r>
      <w:r w:rsidRPr="00300EE8">
        <w:rPr>
          <w:szCs w:val="20"/>
        </w:rPr>
        <w:t>винагороди діє</w:t>
      </w:r>
      <w:r w:rsidR="00160BDE" w:rsidRPr="00300EE8">
        <w:rPr>
          <w:szCs w:val="20"/>
        </w:rPr>
        <w:t xml:space="preserve"> на всій території України за виключенням </w:t>
      </w:r>
      <w:r w:rsidR="00D31E5A" w:rsidRPr="00300EE8">
        <w:rPr>
          <w:szCs w:val="20"/>
        </w:rPr>
        <w:t>населених пунктів, на території яких органи держ</w:t>
      </w:r>
      <w:r w:rsidR="006A0B12" w:rsidRPr="00300EE8">
        <w:rPr>
          <w:szCs w:val="20"/>
        </w:rPr>
        <w:t xml:space="preserve">авної </w:t>
      </w:r>
      <w:r w:rsidR="00D31E5A" w:rsidRPr="00300EE8">
        <w:rPr>
          <w:szCs w:val="20"/>
        </w:rPr>
        <w:t xml:space="preserve">влади тимчасово не здійснюють свої повноваження. </w:t>
      </w:r>
    </w:p>
    <w:p w14:paraId="05BC5B1D" w14:textId="77777777" w:rsidR="009F4E2A" w:rsidRPr="00300EE8" w:rsidRDefault="009F4E2A" w:rsidP="003A317B">
      <w:pPr>
        <w:spacing w:after="0" w:line="240" w:lineRule="auto"/>
        <w:ind w:left="0" w:right="1" w:hanging="15"/>
        <w:rPr>
          <w:szCs w:val="20"/>
        </w:rPr>
      </w:pPr>
    </w:p>
    <w:p w14:paraId="0B8C6CFC" w14:textId="71E1FD39" w:rsidR="00E96389" w:rsidRPr="00300EE8" w:rsidRDefault="00F35913" w:rsidP="003A317B">
      <w:pPr>
        <w:spacing w:after="0" w:line="240" w:lineRule="auto"/>
        <w:ind w:left="0" w:right="1" w:hanging="15"/>
        <w:rPr>
          <w:szCs w:val="20"/>
        </w:rPr>
      </w:pPr>
      <w:r w:rsidRPr="00300EE8">
        <w:rPr>
          <w:szCs w:val="20"/>
        </w:rPr>
        <w:t>3</w:t>
      </w:r>
      <w:r w:rsidR="00160BDE" w:rsidRPr="00300EE8">
        <w:rPr>
          <w:szCs w:val="20"/>
        </w:rPr>
        <w:t>.2.</w:t>
      </w:r>
      <w:r w:rsidR="00160BDE" w:rsidRPr="00300EE8">
        <w:rPr>
          <w:rFonts w:eastAsia="Arial" w:cs="Arial"/>
          <w:szCs w:val="20"/>
        </w:rPr>
        <w:t xml:space="preserve"> </w:t>
      </w:r>
      <w:r w:rsidRPr="00300EE8">
        <w:rPr>
          <w:szCs w:val="20"/>
        </w:rPr>
        <w:t xml:space="preserve">Публічна </w:t>
      </w:r>
      <w:r w:rsidR="00FC2BE3" w:rsidRPr="00300EE8">
        <w:rPr>
          <w:szCs w:val="20"/>
        </w:rPr>
        <w:t xml:space="preserve">обіцянка </w:t>
      </w:r>
      <w:r w:rsidRPr="00300EE8">
        <w:rPr>
          <w:szCs w:val="20"/>
        </w:rPr>
        <w:t>винагороди діє до моменту, коли Банк вирішить її припинити</w:t>
      </w:r>
      <w:r w:rsidR="00FC2BE3" w:rsidRPr="00300EE8">
        <w:rPr>
          <w:szCs w:val="20"/>
        </w:rPr>
        <w:t xml:space="preserve"> та оприлюднить інформацію про припинення на Сайті Банку</w:t>
      </w:r>
      <w:r w:rsidR="006416E4" w:rsidRPr="00300EE8">
        <w:rPr>
          <w:szCs w:val="20"/>
        </w:rPr>
        <w:t>.</w:t>
      </w:r>
    </w:p>
    <w:p w14:paraId="62414D41" w14:textId="77777777" w:rsidR="006416E4" w:rsidRPr="00300EE8" w:rsidRDefault="006416E4" w:rsidP="003A317B">
      <w:pPr>
        <w:spacing w:after="0" w:line="240" w:lineRule="auto"/>
        <w:ind w:left="0" w:right="1" w:hanging="15"/>
        <w:rPr>
          <w:szCs w:val="20"/>
        </w:rPr>
      </w:pPr>
    </w:p>
    <w:p w14:paraId="253DC0BD" w14:textId="35404087" w:rsidR="00FC3F8D" w:rsidRPr="00300EE8" w:rsidRDefault="008E5121" w:rsidP="003A317B">
      <w:pPr>
        <w:pStyle w:val="1"/>
        <w:numPr>
          <w:ilvl w:val="0"/>
          <w:numId w:val="0"/>
        </w:numPr>
        <w:spacing w:after="0" w:line="240" w:lineRule="auto"/>
        <w:ind w:left="-142" w:firstLine="142"/>
        <w:jc w:val="both"/>
        <w:rPr>
          <w:szCs w:val="20"/>
        </w:rPr>
      </w:pPr>
      <w:r w:rsidRPr="00300EE8">
        <w:rPr>
          <w:szCs w:val="20"/>
        </w:rPr>
        <w:t xml:space="preserve">4. </w:t>
      </w:r>
      <w:r w:rsidR="00FC3F8D" w:rsidRPr="00300EE8">
        <w:rPr>
          <w:szCs w:val="20"/>
        </w:rPr>
        <w:t>Вимоги до Партнерів</w:t>
      </w:r>
    </w:p>
    <w:p w14:paraId="77FA37AD" w14:textId="77777777" w:rsidR="005421F6" w:rsidRPr="00300EE8" w:rsidRDefault="005421F6" w:rsidP="003A317B">
      <w:pPr>
        <w:spacing w:after="0" w:line="240" w:lineRule="auto"/>
        <w:rPr>
          <w:szCs w:val="20"/>
        </w:rPr>
      </w:pPr>
    </w:p>
    <w:p w14:paraId="4D17C72F" w14:textId="4FEAA64A" w:rsidR="00FC3F8D" w:rsidRPr="00300EE8" w:rsidRDefault="00472FE1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 xml:space="preserve">4.1. </w:t>
      </w:r>
      <w:r w:rsidR="00FC3F8D" w:rsidRPr="00300EE8">
        <w:rPr>
          <w:szCs w:val="20"/>
        </w:rPr>
        <w:t>Партнер має відповідати наступним вимогам:</w:t>
      </w:r>
    </w:p>
    <w:p w14:paraId="561467DB" w14:textId="77777777" w:rsidR="006416E4" w:rsidRPr="00300EE8" w:rsidRDefault="006416E4" w:rsidP="003A317B">
      <w:pPr>
        <w:spacing w:after="0" w:line="240" w:lineRule="auto"/>
        <w:rPr>
          <w:szCs w:val="20"/>
        </w:rPr>
      </w:pPr>
    </w:p>
    <w:p w14:paraId="24413C94" w14:textId="6118497D" w:rsidR="00FC3F8D" w:rsidRPr="00300EE8" w:rsidRDefault="00FC3F8D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 xml:space="preserve">4.1.1. Партнер повинен мати відкритий </w:t>
      </w:r>
      <w:r w:rsidR="002601CD" w:rsidRPr="00300EE8">
        <w:rPr>
          <w:szCs w:val="20"/>
        </w:rPr>
        <w:t>поточний</w:t>
      </w:r>
      <w:r w:rsidR="00F824A7" w:rsidRPr="00300EE8">
        <w:rPr>
          <w:szCs w:val="20"/>
        </w:rPr>
        <w:t xml:space="preserve"> </w:t>
      </w:r>
      <w:r w:rsidR="009274BD" w:rsidRPr="00300EE8">
        <w:rPr>
          <w:szCs w:val="20"/>
        </w:rPr>
        <w:t xml:space="preserve">або картковий </w:t>
      </w:r>
      <w:r w:rsidRPr="00300EE8">
        <w:rPr>
          <w:szCs w:val="20"/>
        </w:rPr>
        <w:t>рахунок в Банку</w:t>
      </w:r>
      <w:r w:rsidR="002D6737" w:rsidRPr="00300EE8">
        <w:rPr>
          <w:szCs w:val="20"/>
        </w:rPr>
        <w:t>;</w:t>
      </w:r>
    </w:p>
    <w:p w14:paraId="43C5BA77" w14:textId="77777777" w:rsidR="006416E4" w:rsidRPr="00300EE8" w:rsidRDefault="006416E4" w:rsidP="003A317B">
      <w:pPr>
        <w:spacing w:after="0" w:line="240" w:lineRule="auto"/>
        <w:rPr>
          <w:szCs w:val="20"/>
        </w:rPr>
      </w:pPr>
    </w:p>
    <w:p w14:paraId="75BDBFD2" w14:textId="7C41B8BC" w:rsidR="00955CF7" w:rsidRPr="00300EE8" w:rsidRDefault="00955CF7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 xml:space="preserve">4.1.2. </w:t>
      </w:r>
      <w:r w:rsidR="00EA0C05" w:rsidRPr="00300EE8">
        <w:rPr>
          <w:szCs w:val="20"/>
        </w:rPr>
        <w:t>Партнер має бути резидентом України</w:t>
      </w:r>
      <w:r w:rsidR="002D6737" w:rsidRPr="00300EE8">
        <w:rPr>
          <w:szCs w:val="20"/>
        </w:rPr>
        <w:t>;</w:t>
      </w:r>
    </w:p>
    <w:p w14:paraId="52BE9318" w14:textId="77777777" w:rsidR="006416E4" w:rsidRPr="00300EE8" w:rsidRDefault="006416E4" w:rsidP="003A317B">
      <w:pPr>
        <w:spacing w:after="0" w:line="240" w:lineRule="auto"/>
        <w:rPr>
          <w:szCs w:val="20"/>
        </w:rPr>
      </w:pPr>
    </w:p>
    <w:p w14:paraId="0B74D520" w14:textId="51493350" w:rsidR="00EA0C05" w:rsidRPr="00300EE8" w:rsidRDefault="00EA0C05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 xml:space="preserve">4.1.3. Для фізичних осіб: Партнер повинен </w:t>
      </w:r>
      <w:r w:rsidR="00FB398A" w:rsidRPr="00300EE8">
        <w:rPr>
          <w:szCs w:val="20"/>
        </w:rPr>
        <w:t xml:space="preserve">бути повнолітнім та </w:t>
      </w:r>
      <w:r w:rsidRPr="00300EE8">
        <w:rPr>
          <w:szCs w:val="20"/>
        </w:rPr>
        <w:t xml:space="preserve">мати </w:t>
      </w:r>
      <w:r w:rsidR="005830DB" w:rsidRPr="00300EE8">
        <w:rPr>
          <w:szCs w:val="20"/>
        </w:rPr>
        <w:t>ІПН</w:t>
      </w:r>
      <w:r w:rsidR="002D6737" w:rsidRPr="00300EE8">
        <w:rPr>
          <w:szCs w:val="20"/>
        </w:rPr>
        <w:t>;</w:t>
      </w:r>
    </w:p>
    <w:p w14:paraId="7F800D26" w14:textId="77777777" w:rsidR="006416E4" w:rsidRPr="00300EE8" w:rsidRDefault="006416E4" w:rsidP="003A317B">
      <w:pPr>
        <w:spacing w:after="0" w:line="240" w:lineRule="auto"/>
        <w:rPr>
          <w:szCs w:val="20"/>
        </w:rPr>
      </w:pPr>
    </w:p>
    <w:p w14:paraId="1C20ED97" w14:textId="70F7A0DD" w:rsidR="002D6737" w:rsidRPr="00300EE8" w:rsidRDefault="002D6737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4.1.4. Для юридичних осіб/фізичних осіб підприємців: Партнер повинен бути офіційно зареєстрованим в Єдиному державному реєстрі юридичних осіб, фізичних осіб-підприємців та громадських формувань.</w:t>
      </w:r>
    </w:p>
    <w:p w14:paraId="4C63E2DE" w14:textId="77777777" w:rsidR="00C86EF8" w:rsidRPr="00300EE8" w:rsidRDefault="00C86EF8" w:rsidP="003A317B">
      <w:pPr>
        <w:spacing w:after="0" w:line="240" w:lineRule="auto"/>
        <w:rPr>
          <w:szCs w:val="20"/>
        </w:rPr>
      </w:pPr>
    </w:p>
    <w:p w14:paraId="079B1AB1" w14:textId="55AE1F3F" w:rsidR="005820E9" w:rsidRPr="00300EE8" w:rsidRDefault="005820E9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>4.1.5. Партнер не може бути працівником Банку або його родич</w:t>
      </w:r>
      <w:r w:rsidR="000B5F33" w:rsidRPr="00300EE8">
        <w:rPr>
          <w:szCs w:val="20"/>
        </w:rPr>
        <w:t>о</w:t>
      </w:r>
      <w:r w:rsidRPr="00300EE8">
        <w:rPr>
          <w:szCs w:val="20"/>
        </w:rPr>
        <w:t>м.</w:t>
      </w:r>
    </w:p>
    <w:p w14:paraId="69970DAA" w14:textId="77777777" w:rsidR="00146ABE" w:rsidRPr="00300EE8" w:rsidRDefault="00146ABE" w:rsidP="003A317B">
      <w:pPr>
        <w:spacing w:after="0" w:line="240" w:lineRule="auto"/>
        <w:rPr>
          <w:szCs w:val="20"/>
        </w:rPr>
      </w:pPr>
    </w:p>
    <w:p w14:paraId="5FF1903C" w14:textId="43E9262E" w:rsidR="00A30653" w:rsidRPr="00300EE8" w:rsidRDefault="008E5121" w:rsidP="003A317B">
      <w:pPr>
        <w:pStyle w:val="1"/>
        <w:numPr>
          <w:ilvl w:val="0"/>
          <w:numId w:val="0"/>
        </w:numPr>
        <w:spacing w:after="0" w:line="240" w:lineRule="auto"/>
        <w:jc w:val="both"/>
        <w:rPr>
          <w:szCs w:val="20"/>
        </w:rPr>
      </w:pPr>
      <w:r w:rsidRPr="00300EE8">
        <w:rPr>
          <w:szCs w:val="20"/>
        </w:rPr>
        <w:t xml:space="preserve">5. </w:t>
      </w:r>
      <w:r w:rsidR="00A53B92" w:rsidRPr="00300EE8">
        <w:rPr>
          <w:szCs w:val="20"/>
        </w:rPr>
        <w:t>Процес виконання Завдання</w:t>
      </w:r>
    </w:p>
    <w:p w14:paraId="2CBCEDBE" w14:textId="77777777" w:rsidR="005421F6" w:rsidRPr="00300EE8" w:rsidRDefault="005421F6" w:rsidP="003A317B">
      <w:pPr>
        <w:spacing w:after="0" w:line="240" w:lineRule="auto"/>
        <w:ind w:left="0" w:firstLine="0"/>
        <w:rPr>
          <w:szCs w:val="20"/>
        </w:rPr>
      </w:pPr>
    </w:p>
    <w:p w14:paraId="5DABC9B7" w14:textId="3B7C5B07" w:rsidR="00155021" w:rsidRPr="00300EE8" w:rsidRDefault="00155021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5.1. Виконання Завдання повинно відбуватися Партнером особисто.</w:t>
      </w:r>
    </w:p>
    <w:p w14:paraId="056A5FFA" w14:textId="77777777" w:rsidR="005421F6" w:rsidRPr="00300EE8" w:rsidRDefault="005421F6" w:rsidP="003A317B">
      <w:pPr>
        <w:spacing w:after="0" w:line="240" w:lineRule="auto"/>
        <w:ind w:left="0" w:firstLine="0"/>
        <w:rPr>
          <w:szCs w:val="20"/>
        </w:rPr>
      </w:pPr>
    </w:p>
    <w:p w14:paraId="5A080B2F" w14:textId="4954718A" w:rsidR="00155021" w:rsidRPr="00300EE8" w:rsidRDefault="00155021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5.2. При виконанні Завдання Партнер використовує інформацію про Послуги Банку, що розміщена на Сайті Банку.</w:t>
      </w:r>
    </w:p>
    <w:p w14:paraId="167D4212" w14:textId="77777777" w:rsidR="005421F6" w:rsidRPr="00300EE8" w:rsidRDefault="005421F6" w:rsidP="003A317B">
      <w:pPr>
        <w:spacing w:after="0" w:line="240" w:lineRule="auto"/>
        <w:ind w:left="0" w:firstLine="0"/>
        <w:rPr>
          <w:szCs w:val="20"/>
        </w:rPr>
      </w:pPr>
    </w:p>
    <w:p w14:paraId="47D90BAF" w14:textId="5CF0A1D5" w:rsidR="008679FB" w:rsidRPr="00300EE8" w:rsidRDefault="009456FD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3</w:t>
      </w:r>
      <w:r w:rsidRPr="00300EE8">
        <w:rPr>
          <w:szCs w:val="20"/>
        </w:rPr>
        <w:t>.</w:t>
      </w:r>
      <w:r w:rsidR="008679FB" w:rsidRPr="00300EE8">
        <w:rPr>
          <w:szCs w:val="20"/>
        </w:rPr>
        <w:t xml:space="preserve">Передача інформації про Потенційного клієнта може здійснюватися Партнером лише за згоди Потенційного клієнта. </w:t>
      </w:r>
    </w:p>
    <w:p w14:paraId="1B4C0F10" w14:textId="77777777" w:rsidR="005421F6" w:rsidRPr="00300EE8" w:rsidRDefault="005421F6" w:rsidP="003A317B">
      <w:pPr>
        <w:spacing w:after="0" w:line="240" w:lineRule="auto"/>
        <w:ind w:left="0" w:right="0" w:firstLine="0"/>
        <w:rPr>
          <w:szCs w:val="20"/>
        </w:rPr>
      </w:pPr>
    </w:p>
    <w:p w14:paraId="513726BC" w14:textId="178D271A" w:rsidR="00A53B92" w:rsidRPr="00300EE8" w:rsidRDefault="00A53B92" w:rsidP="003A317B">
      <w:pPr>
        <w:spacing w:after="0" w:line="240" w:lineRule="auto"/>
        <w:ind w:left="0" w:right="0" w:firstLine="0"/>
        <w:rPr>
          <w:rFonts w:eastAsia="Times New Roman" w:cs="Segoe UI"/>
          <w:color w:val="auto"/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4</w:t>
      </w:r>
      <w:r w:rsidRPr="00300EE8">
        <w:rPr>
          <w:szCs w:val="20"/>
        </w:rPr>
        <w:t xml:space="preserve">. Для передачі інформації про </w:t>
      </w:r>
      <w:r w:rsidR="00DA6CD3" w:rsidRPr="00300EE8">
        <w:rPr>
          <w:szCs w:val="20"/>
        </w:rPr>
        <w:t>Потенційного клієнта</w:t>
      </w:r>
      <w:r w:rsidRPr="00300EE8">
        <w:rPr>
          <w:szCs w:val="20"/>
        </w:rPr>
        <w:t xml:space="preserve"> Партнер повинен заповнити </w:t>
      </w:r>
      <w:r w:rsidR="00633E18" w:rsidRPr="00300EE8">
        <w:rPr>
          <w:szCs w:val="20"/>
        </w:rPr>
        <w:t>З</w:t>
      </w:r>
      <w:r w:rsidRPr="00300EE8">
        <w:rPr>
          <w:szCs w:val="20"/>
        </w:rPr>
        <w:t xml:space="preserve">аявку </w:t>
      </w:r>
      <w:r w:rsidR="008C0ED3" w:rsidRPr="00300EE8">
        <w:rPr>
          <w:szCs w:val="20"/>
        </w:rPr>
        <w:t xml:space="preserve">на </w:t>
      </w:r>
      <w:r w:rsidR="00472FE1" w:rsidRPr="00300EE8">
        <w:rPr>
          <w:szCs w:val="20"/>
        </w:rPr>
        <w:t>С</w:t>
      </w:r>
      <w:r w:rsidR="008C0ED3" w:rsidRPr="00300EE8">
        <w:rPr>
          <w:szCs w:val="20"/>
        </w:rPr>
        <w:t xml:space="preserve">айті Банку за посиланням </w:t>
      </w:r>
      <w:hyperlink r:id="rId13" w:history="1">
        <w:r w:rsidR="00BF33D6" w:rsidRPr="00300EE8">
          <w:rPr>
            <w:rStyle w:val="a3"/>
            <w:rFonts w:cs="Segoe UI"/>
            <w:color w:val="auto"/>
            <w:szCs w:val="20"/>
            <w:u w:val="none"/>
          </w:rPr>
          <w:t>https://www.raiffeisen.ua/biznesu/klub-moj-biznes/stati-partnerom-banku</w:t>
        </w:r>
      </w:hyperlink>
      <w:r w:rsidR="00226DE5" w:rsidRPr="00300EE8">
        <w:rPr>
          <w:szCs w:val="20"/>
        </w:rPr>
        <w:t>. Оформленням Заявки на сайті Банку Партнер надає свою згоду на виконання Завдання на умовах, вказаних у Публічній обіцянці винагороди, діюч</w:t>
      </w:r>
      <w:r w:rsidR="003B2B58" w:rsidRPr="00300EE8">
        <w:rPr>
          <w:szCs w:val="20"/>
        </w:rPr>
        <w:t xml:space="preserve">ій </w:t>
      </w:r>
      <w:r w:rsidR="00226DE5" w:rsidRPr="00300EE8">
        <w:rPr>
          <w:szCs w:val="20"/>
        </w:rPr>
        <w:t>на момент подання Заявки</w:t>
      </w:r>
      <w:r w:rsidR="00137383" w:rsidRPr="00300EE8">
        <w:rPr>
          <w:szCs w:val="20"/>
        </w:rPr>
        <w:t xml:space="preserve"> та підтверджує відсутність заперечень щодо її умов</w:t>
      </w:r>
      <w:r w:rsidR="00472FE1" w:rsidRPr="00300EE8">
        <w:rPr>
          <w:szCs w:val="20"/>
        </w:rPr>
        <w:t>.</w:t>
      </w:r>
    </w:p>
    <w:p w14:paraId="0B4D7072" w14:textId="77777777" w:rsidR="00146ABE" w:rsidRPr="00300EE8" w:rsidRDefault="00146ABE" w:rsidP="003A317B">
      <w:pPr>
        <w:spacing w:after="0" w:line="240" w:lineRule="auto"/>
        <w:rPr>
          <w:szCs w:val="20"/>
        </w:rPr>
      </w:pPr>
    </w:p>
    <w:p w14:paraId="4BD5EB70" w14:textId="7BD1D87B" w:rsidR="008C0ED3" w:rsidRPr="00300EE8" w:rsidRDefault="008C0ED3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5</w:t>
      </w:r>
      <w:r w:rsidRPr="00300EE8">
        <w:rPr>
          <w:szCs w:val="20"/>
        </w:rPr>
        <w:t>. Заявка має обов’язково містити наступну заповнену інформацію:</w:t>
      </w:r>
    </w:p>
    <w:p w14:paraId="04BD06C8" w14:textId="77777777" w:rsidR="00146ABE" w:rsidRPr="00300EE8" w:rsidRDefault="00146ABE" w:rsidP="003A317B">
      <w:pPr>
        <w:spacing w:after="0" w:line="240" w:lineRule="auto"/>
        <w:rPr>
          <w:szCs w:val="20"/>
        </w:rPr>
      </w:pPr>
    </w:p>
    <w:p w14:paraId="3595FE1A" w14:textId="35750321" w:rsidR="00146ABE" w:rsidRPr="00300EE8" w:rsidRDefault="00433136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5</w:t>
      </w:r>
      <w:r w:rsidRPr="00300EE8">
        <w:rPr>
          <w:szCs w:val="20"/>
        </w:rPr>
        <w:t>.1. Назва/Прізвище Ім’я По</w:t>
      </w:r>
      <w:r w:rsidR="000B5F33" w:rsidRPr="00300EE8">
        <w:rPr>
          <w:szCs w:val="20"/>
        </w:rPr>
        <w:t xml:space="preserve"> б</w:t>
      </w:r>
      <w:r w:rsidR="008C0ED3" w:rsidRPr="00300EE8">
        <w:rPr>
          <w:szCs w:val="20"/>
        </w:rPr>
        <w:t>атькові Партнера</w:t>
      </w:r>
      <w:r w:rsidR="006234AA" w:rsidRPr="00300EE8">
        <w:rPr>
          <w:szCs w:val="20"/>
        </w:rPr>
        <w:t>;</w:t>
      </w:r>
    </w:p>
    <w:p w14:paraId="4FF89952" w14:textId="77777777" w:rsidR="00A11C30" w:rsidRPr="00300EE8" w:rsidRDefault="00A11C30" w:rsidP="003A317B">
      <w:pPr>
        <w:spacing w:after="0" w:line="240" w:lineRule="auto"/>
        <w:rPr>
          <w:szCs w:val="20"/>
        </w:rPr>
      </w:pPr>
    </w:p>
    <w:p w14:paraId="2AFD975A" w14:textId="00425870" w:rsidR="008C0ED3" w:rsidRPr="00300EE8" w:rsidRDefault="008C0ED3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5</w:t>
      </w:r>
      <w:r w:rsidRPr="00300EE8">
        <w:rPr>
          <w:szCs w:val="20"/>
        </w:rPr>
        <w:t xml:space="preserve">.2. </w:t>
      </w:r>
      <w:r w:rsidR="00433136" w:rsidRPr="00300EE8">
        <w:rPr>
          <w:szCs w:val="20"/>
        </w:rPr>
        <w:t>Код ЄДРПОУ/</w:t>
      </w:r>
      <w:r w:rsidR="005830DB" w:rsidRPr="00300EE8">
        <w:rPr>
          <w:szCs w:val="20"/>
        </w:rPr>
        <w:t>ІПН</w:t>
      </w:r>
      <w:r w:rsidR="00433136" w:rsidRPr="00300EE8">
        <w:rPr>
          <w:szCs w:val="20"/>
        </w:rPr>
        <w:t xml:space="preserve"> Партнера</w:t>
      </w:r>
      <w:r w:rsidR="006234AA" w:rsidRPr="00300EE8">
        <w:rPr>
          <w:szCs w:val="20"/>
        </w:rPr>
        <w:t>;</w:t>
      </w:r>
    </w:p>
    <w:p w14:paraId="44871096" w14:textId="77777777" w:rsidR="00FA474B" w:rsidRPr="00300EE8" w:rsidRDefault="00FA474B" w:rsidP="003A317B">
      <w:pPr>
        <w:spacing w:after="0" w:line="240" w:lineRule="auto"/>
        <w:rPr>
          <w:szCs w:val="20"/>
        </w:rPr>
      </w:pPr>
    </w:p>
    <w:p w14:paraId="5DA42758" w14:textId="0C476209" w:rsidR="00E32B6B" w:rsidRPr="00300EE8" w:rsidRDefault="00E32B6B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5</w:t>
      </w:r>
      <w:r w:rsidRPr="00300EE8">
        <w:rPr>
          <w:szCs w:val="20"/>
        </w:rPr>
        <w:t>.</w:t>
      </w:r>
      <w:r w:rsidR="005830DB" w:rsidRPr="00300EE8">
        <w:rPr>
          <w:szCs w:val="20"/>
        </w:rPr>
        <w:t>3</w:t>
      </w:r>
      <w:r w:rsidRPr="00300EE8">
        <w:rPr>
          <w:szCs w:val="20"/>
        </w:rPr>
        <w:t xml:space="preserve">. Номер </w:t>
      </w:r>
      <w:r w:rsidR="005830DB" w:rsidRPr="00300EE8">
        <w:rPr>
          <w:szCs w:val="20"/>
        </w:rPr>
        <w:t xml:space="preserve">відкритого </w:t>
      </w:r>
      <w:r w:rsidRPr="00300EE8">
        <w:rPr>
          <w:szCs w:val="20"/>
        </w:rPr>
        <w:t xml:space="preserve">поточного </w:t>
      </w:r>
      <w:r w:rsidR="00C86EF8" w:rsidRPr="00300EE8">
        <w:rPr>
          <w:szCs w:val="20"/>
        </w:rPr>
        <w:t xml:space="preserve">або карткового </w:t>
      </w:r>
      <w:r w:rsidRPr="00300EE8">
        <w:rPr>
          <w:szCs w:val="20"/>
        </w:rPr>
        <w:t>рахунку в Банку</w:t>
      </w:r>
      <w:r w:rsidR="000738BF" w:rsidRPr="00300EE8">
        <w:rPr>
          <w:szCs w:val="20"/>
        </w:rPr>
        <w:t>;</w:t>
      </w:r>
    </w:p>
    <w:p w14:paraId="2365BA6F" w14:textId="77777777" w:rsidR="00A11C30" w:rsidRPr="00300EE8" w:rsidRDefault="00A11C30" w:rsidP="003A317B">
      <w:pPr>
        <w:spacing w:after="0" w:line="240" w:lineRule="auto"/>
        <w:ind w:left="0" w:firstLine="0"/>
        <w:rPr>
          <w:szCs w:val="20"/>
        </w:rPr>
      </w:pPr>
    </w:p>
    <w:p w14:paraId="7D863807" w14:textId="6D69B29D" w:rsidR="00D17818" w:rsidRPr="00300EE8" w:rsidRDefault="00D17818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5</w:t>
      </w:r>
      <w:r w:rsidRPr="00300EE8">
        <w:rPr>
          <w:szCs w:val="20"/>
        </w:rPr>
        <w:t>.</w:t>
      </w:r>
      <w:r w:rsidR="005830DB" w:rsidRPr="00300EE8">
        <w:rPr>
          <w:szCs w:val="20"/>
        </w:rPr>
        <w:t>4</w:t>
      </w:r>
      <w:r w:rsidRPr="00300EE8">
        <w:rPr>
          <w:szCs w:val="20"/>
        </w:rPr>
        <w:t xml:space="preserve">. Контактний </w:t>
      </w:r>
      <w:r w:rsidR="000B5F33" w:rsidRPr="00300EE8">
        <w:rPr>
          <w:szCs w:val="20"/>
        </w:rPr>
        <w:t xml:space="preserve">номер </w:t>
      </w:r>
      <w:r w:rsidRPr="00300EE8">
        <w:rPr>
          <w:szCs w:val="20"/>
        </w:rPr>
        <w:t>телефон</w:t>
      </w:r>
      <w:r w:rsidR="000B5F33" w:rsidRPr="00300EE8">
        <w:rPr>
          <w:szCs w:val="20"/>
        </w:rPr>
        <w:t>у</w:t>
      </w:r>
      <w:r w:rsidRPr="00300EE8">
        <w:rPr>
          <w:szCs w:val="20"/>
        </w:rPr>
        <w:t xml:space="preserve"> та електронна </w:t>
      </w:r>
      <w:r w:rsidR="00B43B7F" w:rsidRPr="00300EE8">
        <w:rPr>
          <w:szCs w:val="20"/>
        </w:rPr>
        <w:t>адреса</w:t>
      </w:r>
      <w:r w:rsidRPr="00300EE8">
        <w:rPr>
          <w:szCs w:val="20"/>
        </w:rPr>
        <w:t xml:space="preserve"> Партнера</w:t>
      </w:r>
      <w:r w:rsidR="006234AA" w:rsidRPr="00300EE8">
        <w:rPr>
          <w:szCs w:val="20"/>
        </w:rPr>
        <w:t>;</w:t>
      </w:r>
    </w:p>
    <w:p w14:paraId="7C2683AF" w14:textId="77777777" w:rsidR="00A11C30" w:rsidRPr="00300EE8" w:rsidRDefault="00A11C30" w:rsidP="003A317B">
      <w:pPr>
        <w:spacing w:after="0" w:line="240" w:lineRule="auto"/>
        <w:rPr>
          <w:szCs w:val="20"/>
        </w:rPr>
      </w:pPr>
    </w:p>
    <w:p w14:paraId="70759FC6" w14:textId="4794A2C2" w:rsidR="006234AA" w:rsidRPr="00300EE8" w:rsidRDefault="006234AA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5</w:t>
      </w:r>
      <w:r w:rsidRPr="00300EE8">
        <w:rPr>
          <w:szCs w:val="20"/>
        </w:rPr>
        <w:t>.</w:t>
      </w:r>
      <w:r w:rsidR="00C352AD" w:rsidRPr="00300EE8">
        <w:rPr>
          <w:szCs w:val="20"/>
        </w:rPr>
        <w:t>5</w:t>
      </w:r>
      <w:r w:rsidRPr="00300EE8">
        <w:rPr>
          <w:szCs w:val="20"/>
        </w:rPr>
        <w:t>. Засвідчення Партнера про ознайомлення з умовами даної Публічної обіцянки винагороди</w:t>
      </w:r>
      <w:r w:rsidR="005421F6" w:rsidRPr="00300EE8">
        <w:rPr>
          <w:szCs w:val="20"/>
        </w:rPr>
        <w:t xml:space="preserve"> </w:t>
      </w:r>
      <w:r w:rsidR="0090018D" w:rsidRPr="00300EE8">
        <w:rPr>
          <w:szCs w:val="20"/>
        </w:rPr>
        <w:t>та Умовами обробки персональних даних</w:t>
      </w:r>
      <w:r w:rsidRPr="00300EE8">
        <w:rPr>
          <w:szCs w:val="20"/>
        </w:rPr>
        <w:t>;</w:t>
      </w:r>
    </w:p>
    <w:p w14:paraId="4CDC421B" w14:textId="77777777" w:rsidR="00A11C30" w:rsidRPr="00300EE8" w:rsidRDefault="00A11C30" w:rsidP="003A317B">
      <w:pPr>
        <w:spacing w:after="0" w:line="240" w:lineRule="auto"/>
        <w:rPr>
          <w:szCs w:val="20"/>
        </w:rPr>
      </w:pPr>
    </w:p>
    <w:p w14:paraId="6B7F543B" w14:textId="39E15E00" w:rsidR="00433136" w:rsidRPr="00300EE8" w:rsidRDefault="006234AA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5</w:t>
      </w:r>
      <w:r w:rsidRPr="00300EE8">
        <w:rPr>
          <w:szCs w:val="20"/>
        </w:rPr>
        <w:t>.</w:t>
      </w:r>
      <w:r w:rsidR="00C352AD" w:rsidRPr="00300EE8">
        <w:rPr>
          <w:szCs w:val="20"/>
        </w:rPr>
        <w:t>6</w:t>
      </w:r>
      <w:r w:rsidR="00433136" w:rsidRPr="00300EE8">
        <w:rPr>
          <w:szCs w:val="20"/>
        </w:rPr>
        <w:t>. Ім’я та По</w:t>
      </w:r>
      <w:r w:rsidR="000B5F33" w:rsidRPr="00300EE8">
        <w:rPr>
          <w:szCs w:val="20"/>
        </w:rPr>
        <w:t xml:space="preserve"> б</w:t>
      </w:r>
      <w:r w:rsidR="00433136" w:rsidRPr="00300EE8">
        <w:rPr>
          <w:szCs w:val="20"/>
        </w:rPr>
        <w:t xml:space="preserve">атькові, телефон </w:t>
      </w:r>
      <w:r w:rsidR="00DA6CD3" w:rsidRPr="00300EE8">
        <w:rPr>
          <w:szCs w:val="20"/>
        </w:rPr>
        <w:t>Потенційного клієнта</w:t>
      </w:r>
      <w:r w:rsidR="00D17818" w:rsidRPr="00300EE8">
        <w:rPr>
          <w:szCs w:val="20"/>
        </w:rPr>
        <w:t xml:space="preserve"> (для фізичних осіб-підприємців)</w:t>
      </w:r>
      <w:r w:rsidRPr="00300EE8">
        <w:rPr>
          <w:szCs w:val="20"/>
        </w:rPr>
        <w:t>;</w:t>
      </w:r>
    </w:p>
    <w:p w14:paraId="25135EF0" w14:textId="77777777" w:rsidR="00A11C30" w:rsidRPr="00300EE8" w:rsidRDefault="00A11C30" w:rsidP="003A317B">
      <w:pPr>
        <w:spacing w:after="0" w:line="240" w:lineRule="auto"/>
        <w:ind w:left="0" w:firstLine="0"/>
        <w:rPr>
          <w:szCs w:val="20"/>
        </w:rPr>
      </w:pPr>
    </w:p>
    <w:p w14:paraId="0ECF4B74" w14:textId="4C61188C" w:rsidR="00D17818" w:rsidRPr="00300EE8" w:rsidRDefault="006234AA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5</w:t>
      </w:r>
      <w:r w:rsidRPr="00300EE8">
        <w:rPr>
          <w:szCs w:val="20"/>
        </w:rPr>
        <w:t>.</w:t>
      </w:r>
      <w:r w:rsidR="00C352AD" w:rsidRPr="00300EE8">
        <w:rPr>
          <w:szCs w:val="20"/>
        </w:rPr>
        <w:t>7</w:t>
      </w:r>
      <w:r w:rsidR="00D17818" w:rsidRPr="00300EE8">
        <w:rPr>
          <w:szCs w:val="20"/>
        </w:rPr>
        <w:t>. Назва, код ЄДРПОУ</w:t>
      </w:r>
      <w:r w:rsidR="00DA6CD3" w:rsidRPr="00300EE8">
        <w:rPr>
          <w:szCs w:val="20"/>
        </w:rPr>
        <w:t xml:space="preserve"> Потенційного клієнта</w:t>
      </w:r>
      <w:r w:rsidR="00D17818" w:rsidRPr="00300EE8">
        <w:rPr>
          <w:szCs w:val="20"/>
        </w:rPr>
        <w:t>, Ім’я та По</w:t>
      </w:r>
      <w:r w:rsidR="000B5F33" w:rsidRPr="00300EE8">
        <w:rPr>
          <w:szCs w:val="20"/>
        </w:rPr>
        <w:t xml:space="preserve"> б</w:t>
      </w:r>
      <w:r w:rsidR="00D17818" w:rsidRPr="00300EE8">
        <w:rPr>
          <w:szCs w:val="20"/>
        </w:rPr>
        <w:t>атькові, телефон контактної особи (для юридичних осіб)</w:t>
      </w:r>
      <w:r w:rsidRPr="00300EE8">
        <w:rPr>
          <w:szCs w:val="20"/>
        </w:rPr>
        <w:t>;</w:t>
      </w:r>
    </w:p>
    <w:p w14:paraId="1BBB48A6" w14:textId="77777777" w:rsidR="00D44D6C" w:rsidRPr="00300EE8" w:rsidRDefault="00D44D6C" w:rsidP="003A317B">
      <w:pPr>
        <w:spacing w:after="0" w:line="240" w:lineRule="auto"/>
        <w:ind w:left="0" w:firstLine="0"/>
        <w:rPr>
          <w:szCs w:val="20"/>
        </w:rPr>
      </w:pPr>
    </w:p>
    <w:p w14:paraId="418E69E5" w14:textId="43F783A2" w:rsidR="005C50D7" w:rsidRPr="00300EE8" w:rsidRDefault="005C50D7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5</w:t>
      </w:r>
      <w:r w:rsidRPr="00300EE8">
        <w:rPr>
          <w:szCs w:val="20"/>
        </w:rPr>
        <w:t>.</w:t>
      </w:r>
      <w:r w:rsidR="00C352AD" w:rsidRPr="00300EE8">
        <w:rPr>
          <w:szCs w:val="20"/>
        </w:rPr>
        <w:t>8</w:t>
      </w:r>
      <w:r w:rsidRPr="00300EE8">
        <w:rPr>
          <w:szCs w:val="20"/>
        </w:rPr>
        <w:t xml:space="preserve">. </w:t>
      </w:r>
      <w:r w:rsidR="00CF2EB3" w:rsidRPr="00300EE8">
        <w:rPr>
          <w:szCs w:val="20"/>
        </w:rPr>
        <w:t>П</w:t>
      </w:r>
      <w:r w:rsidRPr="00300EE8">
        <w:rPr>
          <w:szCs w:val="20"/>
        </w:rPr>
        <w:t xml:space="preserve">ослуга Банку, якою планує скористатися </w:t>
      </w:r>
      <w:r w:rsidR="00DA6CD3" w:rsidRPr="00300EE8">
        <w:rPr>
          <w:szCs w:val="20"/>
        </w:rPr>
        <w:t>Потенційний клієнт</w:t>
      </w:r>
      <w:r w:rsidRPr="00300EE8">
        <w:rPr>
          <w:szCs w:val="20"/>
        </w:rPr>
        <w:t>;</w:t>
      </w:r>
    </w:p>
    <w:p w14:paraId="5265D007" w14:textId="77777777" w:rsidR="005421F6" w:rsidRPr="00300EE8" w:rsidRDefault="005421F6" w:rsidP="003A317B">
      <w:pPr>
        <w:spacing w:after="0" w:line="240" w:lineRule="auto"/>
        <w:ind w:left="0" w:firstLine="0"/>
        <w:rPr>
          <w:szCs w:val="20"/>
        </w:rPr>
      </w:pPr>
    </w:p>
    <w:p w14:paraId="0F815E58" w14:textId="7F6EA2BB" w:rsidR="00D17818" w:rsidRPr="00300EE8" w:rsidRDefault="005C50D7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5</w:t>
      </w:r>
      <w:r w:rsidRPr="00300EE8">
        <w:rPr>
          <w:szCs w:val="20"/>
        </w:rPr>
        <w:t>.</w:t>
      </w:r>
      <w:r w:rsidR="00C352AD" w:rsidRPr="00300EE8">
        <w:rPr>
          <w:szCs w:val="20"/>
        </w:rPr>
        <w:t>9</w:t>
      </w:r>
      <w:r w:rsidR="00D17818" w:rsidRPr="00300EE8">
        <w:rPr>
          <w:szCs w:val="20"/>
        </w:rPr>
        <w:t xml:space="preserve">. </w:t>
      </w:r>
      <w:r w:rsidR="006234AA" w:rsidRPr="00300EE8">
        <w:rPr>
          <w:szCs w:val="20"/>
        </w:rPr>
        <w:t xml:space="preserve">Засвідчення Партнера про отримання згоди </w:t>
      </w:r>
      <w:r w:rsidR="00DA6CD3" w:rsidRPr="00300EE8">
        <w:rPr>
          <w:szCs w:val="20"/>
        </w:rPr>
        <w:t>Потенційного клієнта</w:t>
      </w:r>
      <w:r w:rsidR="006234AA" w:rsidRPr="00300EE8">
        <w:rPr>
          <w:szCs w:val="20"/>
        </w:rPr>
        <w:t xml:space="preserve"> стати клієнтом Банку.</w:t>
      </w:r>
    </w:p>
    <w:p w14:paraId="0A4570DE" w14:textId="77777777" w:rsidR="005421F6" w:rsidRPr="00300EE8" w:rsidRDefault="005421F6" w:rsidP="003A317B">
      <w:pPr>
        <w:spacing w:after="0" w:line="240" w:lineRule="auto"/>
        <w:ind w:left="0" w:firstLine="0"/>
        <w:rPr>
          <w:szCs w:val="20"/>
        </w:rPr>
      </w:pPr>
    </w:p>
    <w:p w14:paraId="52A07DB0" w14:textId="2C34CE56" w:rsidR="00155021" w:rsidRPr="00300EE8" w:rsidRDefault="00155021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 xml:space="preserve">5.6. При заповненні Заявки Партнер </w:t>
      </w:r>
      <w:r w:rsidR="004E1EA6" w:rsidRPr="00300EE8">
        <w:rPr>
          <w:szCs w:val="20"/>
        </w:rPr>
        <w:t xml:space="preserve">вказує </w:t>
      </w:r>
      <w:r w:rsidRPr="00300EE8">
        <w:rPr>
          <w:szCs w:val="20"/>
        </w:rPr>
        <w:t>дані</w:t>
      </w:r>
      <w:r w:rsidR="00D20179" w:rsidRPr="00300EE8">
        <w:rPr>
          <w:szCs w:val="20"/>
        </w:rPr>
        <w:t xml:space="preserve"> Потенційного клієнта</w:t>
      </w:r>
      <w:r w:rsidRPr="00300EE8">
        <w:rPr>
          <w:szCs w:val="20"/>
        </w:rPr>
        <w:t>, які зазначені в п.5.5</w:t>
      </w:r>
      <w:r w:rsidR="00896E34" w:rsidRPr="00300EE8">
        <w:rPr>
          <w:szCs w:val="20"/>
        </w:rPr>
        <w:t>.</w:t>
      </w:r>
      <w:r w:rsidRPr="00300EE8">
        <w:rPr>
          <w:szCs w:val="20"/>
        </w:rPr>
        <w:t>6</w:t>
      </w:r>
      <w:r w:rsidR="00896E34" w:rsidRPr="00300EE8">
        <w:rPr>
          <w:szCs w:val="20"/>
        </w:rPr>
        <w:t>.</w:t>
      </w:r>
      <w:r w:rsidRPr="00300EE8">
        <w:rPr>
          <w:szCs w:val="20"/>
        </w:rPr>
        <w:t>, 5.5.7</w:t>
      </w:r>
      <w:r w:rsidR="00896E34" w:rsidRPr="00300EE8">
        <w:rPr>
          <w:szCs w:val="20"/>
        </w:rPr>
        <w:t>. даної Публічної обіцянки винагороди.</w:t>
      </w:r>
    </w:p>
    <w:p w14:paraId="2F797FF0" w14:textId="77777777" w:rsidR="005421F6" w:rsidRPr="00300EE8" w:rsidRDefault="005421F6" w:rsidP="003A317B">
      <w:pPr>
        <w:spacing w:after="0" w:line="240" w:lineRule="auto"/>
        <w:ind w:left="0" w:firstLine="0"/>
        <w:rPr>
          <w:szCs w:val="20"/>
        </w:rPr>
      </w:pPr>
    </w:p>
    <w:p w14:paraId="710D1BE0" w14:textId="250798B1" w:rsidR="002A07BB" w:rsidRPr="00300EE8" w:rsidRDefault="00633E18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7</w:t>
      </w:r>
      <w:r w:rsidRPr="00300EE8">
        <w:rPr>
          <w:szCs w:val="20"/>
        </w:rPr>
        <w:t>. Кожній З</w:t>
      </w:r>
      <w:r w:rsidR="00BF3500" w:rsidRPr="00300EE8">
        <w:rPr>
          <w:szCs w:val="20"/>
        </w:rPr>
        <w:t xml:space="preserve">аявці Банк присвоює унікальний ID номер. </w:t>
      </w:r>
      <w:r w:rsidR="002A07BB" w:rsidRPr="00300EE8">
        <w:rPr>
          <w:szCs w:val="20"/>
        </w:rPr>
        <w:t xml:space="preserve">Такий ID номер Заявки Партнер отримує </w:t>
      </w:r>
      <w:r w:rsidR="00497116" w:rsidRPr="00300EE8">
        <w:rPr>
          <w:szCs w:val="20"/>
        </w:rPr>
        <w:t>в момент</w:t>
      </w:r>
      <w:r w:rsidR="002A07BB" w:rsidRPr="00300EE8">
        <w:rPr>
          <w:szCs w:val="20"/>
        </w:rPr>
        <w:t xml:space="preserve"> реєстрації Заявки</w:t>
      </w:r>
      <w:r w:rsidR="00497116" w:rsidRPr="00300EE8">
        <w:rPr>
          <w:szCs w:val="20"/>
        </w:rPr>
        <w:t xml:space="preserve"> на сайті Банку</w:t>
      </w:r>
      <w:r w:rsidR="002A07BB" w:rsidRPr="00300EE8">
        <w:rPr>
          <w:szCs w:val="20"/>
        </w:rPr>
        <w:t>.</w:t>
      </w:r>
    </w:p>
    <w:p w14:paraId="75A3FA74" w14:textId="77777777" w:rsidR="005421F6" w:rsidRPr="00300EE8" w:rsidRDefault="005421F6" w:rsidP="003A317B">
      <w:pPr>
        <w:spacing w:after="0" w:line="240" w:lineRule="auto"/>
        <w:ind w:left="0" w:right="0" w:firstLine="0"/>
        <w:rPr>
          <w:szCs w:val="20"/>
        </w:rPr>
      </w:pPr>
    </w:p>
    <w:p w14:paraId="1EF34C46" w14:textId="632DF885" w:rsidR="00BF3500" w:rsidRPr="00300EE8" w:rsidRDefault="002A07BB" w:rsidP="003A317B">
      <w:pPr>
        <w:spacing w:after="0" w:line="240" w:lineRule="auto"/>
        <w:ind w:left="0" w:right="0" w:firstLine="0"/>
        <w:rPr>
          <w:szCs w:val="20"/>
        </w:rPr>
      </w:pPr>
      <w:r w:rsidRPr="00300EE8">
        <w:rPr>
          <w:szCs w:val="20"/>
        </w:rPr>
        <w:lastRenderedPageBreak/>
        <w:t>5.</w:t>
      </w:r>
      <w:r w:rsidR="00155021" w:rsidRPr="00300EE8">
        <w:rPr>
          <w:szCs w:val="20"/>
        </w:rPr>
        <w:t>8</w:t>
      </w:r>
      <w:r w:rsidRPr="00300EE8">
        <w:rPr>
          <w:szCs w:val="20"/>
        </w:rPr>
        <w:t xml:space="preserve">. </w:t>
      </w:r>
      <w:r w:rsidR="00A56EE0" w:rsidRPr="00300EE8">
        <w:rPr>
          <w:szCs w:val="20"/>
        </w:rPr>
        <w:t xml:space="preserve">Для підведення підсумків роботи з Партнерами Банк щомісячно публікує на сайті </w:t>
      </w:r>
      <w:r w:rsidR="003F2247" w:rsidRPr="00300EE8">
        <w:rPr>
          <w:szCs w:val="20"/>
        </w:rPr>
        <w:t xml:space="preserve">за посиланням </w:t>
      </w:r>
      <w:hyperlink r:id="rId14" w:tgtFrame="_blank" w:tooltip="https://www.raiffeisen.ua/biznesu/klub-moj-biznes/stati-partnerom-banku" w:history="1">
        <w:r w:rsidR="009F3393" w:rsidRPr="00300EE8">
          <w:rPr>
            <w:rStyle w:val="a3"/>
            <w:rFonts w:cs="Segoe UI"/>
            <w:color w:val="auto"/>
            <w:szCs w:val="20"/>
            <w:u w:val="none"/>
          </w:rPr>
          <w:t>https://www.raiffeisen.ua/biznesu/klub-moj-biznes/stati-partnerom-banku</w:t>
        </w:r>
      </w:hyperlink>
      <w:r w:rsidR="009F3393" w:rsidRPr="00300EE8">
        <w:rPr>
          <w:rFonts w:cs="Segoe UI"/>
          <w:szCs w:val="20"/>
        </w:rPr>
        <w:t xml:space="preserve"> </w:t>
      </w:r>
      <w:r w:rsidR="00A56EE0" w:rsidRPr="00300EE8">
        <w:rPr>
          <w:szCs w:val="20"/>
        </w:rPr>
        <w:t>звіт по Партнерським Заявкам з відображенням всіх заявок та статусів, в яких перебувають Заявки.</w:t>
      </w:r>
      <w:r w:rsidR="004A002E" w:rsidRPr="00300EE8">
        <w:rPr>
          <w:szCs w:val="20"/>
        </w:rPr>
        <w:t xml:space="preserve"> Після </w:t>
      </w:r>
      <w:r w:rsidR="00A56EE0" w:rsidRPr="00300EE8">
        <w:rPr>
          <w:szCs w:val="20"/>
        </w:rPr>
        <w:t>публікації</w:t>
      </w:r>
      <w:r w:rsidR="004A002E" w:rsidRPr="00300EE8">
        <w:rPr>
          <w:szCs w:val="20"/>
        </w:rPr>
        <w:t xml:space="preserve"> звіту</w:t>
      </w:r>
      <w:r w:rsidR="00A56EE0" w:rsidRPr="00300EE8">
        <w:rPr>
          <w:szCs w:val="20"/>
        </w:rPr>
        <w:t>,</w:t>
      </w:r>
      <w:r w:rsidR="004A002E" w:rsidRPr="00300EE8">
        <w:rPr>
          <w:szCs w:val="20"/>
        </w:rPr>
        <w:t xml:space="preserve"> </w:t>
      </w:r>
      <w:r w:rsidR="00A56EE0" w:rsidRPr="00300EE8">
        <w:rPr>
          <w:szCs w:val="20"/>
        </w:rPr>
        <w:t>якщо</w:t>
      </w:r>
      <w:r w:rsidR="00517E16" w:rsidRPr="00300EE8">
        <w:rPr>
          <w:szCs w:val="20"/>
        </w:rPr>
        <w:t xml:space="preserve"> </w:t>
      </w:r>
      <w:r w:rsidR="004A002E" w:rsidRPr="00300EE8">
        <w:rPr>
          <w:szCs w:val="20"/>
        </w:rPr>
        <w:t>Заявці</w:t>
      </w:r>
      <w:r w:rsidR="00517E16" w:rsidRPr="00300EE8">
        <w:rPr>
          <w:szCs w:val="20"/>
        </w:rPr>
        <w:t xml:space="preserve"> </w:t>
      </w:r>
      <w:r w:rsidR="00A56EE0" w:rsidRPr="00300EE8">
        <w:rPr>
          <w:szCs w:val="20"/>
        </w:rPr>
        <w:t>присвоєний статус</w:t>
      </w:r>
      <w:r w:rsidR="00517E16" w:rsidRPr="00300EE8">
        <w:rPr>
          <w:szCs w:val="20"/>
        </w:rPr>
        <w:t xml:space="preserve"> «Оплачена» або «Відмова у виплаті»</w:t>
      </w:r>
      <w:r w:rsidR="004A002E" w:rsidRPr="00300EE8">
        <w:rPr>
          <w:szCs w:val="20"/>
        </w:rPr>
        <w:t>, т</w:t>
      </w:r>
      <w:r w:rsidR="008E5121" w:rsidRPr="00300EE8">
        <w:rPr>
          <w:szCs w:val="20"/>
        </w:rPr>
        <w:t>ака Заявка вважається закритою.</w:t>
      </w:r>
    </w:p>
    <w:p w14:paraId="1AFD113B" w14:textId="77777777" w:rsidR="00FE10AC" w:rsidRPr="00300EE8" w:rsidRDefault="00FE10AC" w:rsidP="003A317B">
      <w:pPr>
        <w:spacing w:after="0" w:line="240" w:lineRule="auto"/>
        <w:rPr>
          <w:szCs w:val="20"/>
        </w:rPr>
      </w:pPr>
    </w:p>
    <w:p w14:paraId="76C1E27B" w14:textId="34BB92D7" w:rsidR="003163A1" w:rsidRPr="00300EE8" w:rsidRDefault="002A07BB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9</w:t>
      </w:r>
      <w:r w:rsidR="003163A1" w:rsidRPr="00300EE8">
        <w:rPr>
          <w:szCs w:val="20"/>
        </w:rPr>
        <w:t>. Статуси Заявки:</w:t>
      </w:r>
    </w:p>
    <w:p w14:paraId="412A69A4" w14:textId="77777777" w:rsidR="00BF308C" w:rsidRPr="00300EE8" w:rsidRDefault="00BF308C" w:rsidP="003A317B">
      <w:pPr>
        <w:spacing w:after="0" w:line="240" w:lineRule="auto"/>
        <w:ind w:left="0" w:firstLine="0"/>
        <w:rPr>
          <w:szCs w:val="20"/>
        </w:rPr>
      </w:pPr>
    </w:p>
    <w:p w14:paraId="071A8CB6" w14:textId="69FD845F" w:rsidR="003163A1" w:rsidRPr="00300EE8" w:rsidRDefault="008F1E96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9</w:t>
      </w:r>
      <w:r w:rsidRPr="00300EE8">
        <w:rPr>
          <w:szCs w:val="20"/>
        </w:rPr>
        <w:t>.1.</w:t>
      </w:r>
      <w:r w:rsidR="003163A1" w:rsidRPr="00300EE8">
        <w:rPr>
          <w:szCs w:val="20"/>
        </w:rPr>
        <w:t xml:space="preserve"> «В роботі»: Банк отримав від Партнера інформацію про </w:t>
      </w:r>
      <w:r w:rsidR="00DA6CD3" w:rsidRPr="00300EE8">
        <w:rPr>
          <w:szCs w:val="20"/>
        </w:rPr>
        <w:t>Потенційного клієнта, з яким</w:t>
      </w:r>
      <w:r w:rsidR="003163A1" w:rsidRPr="00300EE8">
        <w:rPr>
          <w:szCs w:val="20"/>
        </w:rPr>
        <w:t xml:space="preserve"> ведуться перемовини щодо </w:t>
      </w:r>
      <w:r w:rsidR="005C50D7" w:rsidRPr="00300EE8">
        <w:rPr>
          <w:szCs w:val="20"/>
        </w:rPr>
        <w:t xml:space="preserve">використання </w:t>
      </w:r>
      <w:r w:rsidR="00155021" w:rsidRPr="00300EE8">
        <w:rPr>
          <w:szCs w:val="20"/>
        </w:rPr>
        <w:t>П</w:t>
      </w:r>
      <w:r w:rsidR="005C50D7" w:rsidRPr="00300EE8">
        <w:rPr>
          <w:szCs w:val="20"/>
        </w:rPr>
        <w:t>ослуг Банку</w:t>
      </w:r>
      <w:r w:rsidR="003163A1" w:rsidRPr="00300EE8">
        <w:rPr>
          <w:szCs w:val="20"/>
        </w:rPr>
        <w:t>;</w:t>
      </w:r>
    </w:p>
    <w:p w14:paraId="56504911" w14:textId="77777777" w:rsidR="00BF308C" w:rsidRPr="00300EE8" w:rsidRDefault="00BF308C" w:rsidP="003A317B">
      <w:pPr>
        <w:spacing w:after="0" w:line="240" w:lineRule="auto"/>
        <w:ind w:left="0" w:firstLine="0"/>
        <w:rPr>
          <w:szCs w:val="20"/>
        </w:rPr>
      </w:pPr>
    </w:p>
    <w:p w14:paraId="2094D7B1" w14:textId="168572D0" w:rsidR="003163A1" w:rsidRPr="00300EE8" w:rsidRDefault="008F1E96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55021" w:rsidRPr="00300EE8">
        <w:rPr>
          <w:szCs w:val="20"/>
        </w:rPr>
        <w:t>9</w:t>
      </w:r>
      <w:r w:rsidRPr="00300EE8">
        <w:rPr>
          <w:szCs w:val="20"/>
        </w:rPr>
        <w:t xml:space="preserve">.2. </w:t>
      </w:r>
      <w:r w:rsidR="005C50D7" w:rsidRPr="00300EE8">
        <w:rPr>
          <w:szCs w:val="20"/>
        </w:rPr>
        <w:t>«</w:t>
      </w:r>
      <w:r w:rsidR="003163A1" w:rsidRPr="00300EE8">
        <w:rPr>
          <w:szCs w:val="20"/>
        </w:rPr>
        <w:t>До виплати</w:t>
      </w:r>
      <w:r w:rsidR="005C50D7" w:rsidRPr="00300EE8">
        <w:rPr>
          <w:szCs w:val="20"/>
        </w:rPr>
        <w:t>»:</w:t>
      </w:r>
      <w:r w:rsidR="00D44D6C" w:rsidRPr="00300EE8">
        <w:rPr>
          <w:szCs w:val="20"/>
        </w:rPr>
        <w:t xml:space="preserve"> на наступний місяць після виконання у</w:t>
      </w:r>
      <w:r w:rsidR="004154C6" w:rsidRPr="00300EE8">
        <w:rPr>
          <w:szCs w:val="20"/>
        </w:rPr>
        <w:t>мов</w:t>
      </w:r>
      <w:r w:rsidR="00D44D6C" w:rsidRPr="00300EE8">
        <w:rPr>
          <w:szCs w:val="20"/>
        </w:rPr>
        <w:t>, вказаних в п.2.1. цієї Публічної обіцянки винагороди</w:t>
      </w:r>
      <w:r w:rsidR="00C57854" w:rsidRPr="00300EE8">
        <w:rPr>
          <w:szCs w:val="20"/>
        </w:rPr>
        <w:t>;</w:t>
      </w:r>
    </w:p>
    <w:p w14:paraId="57358F90" w14:textId="2E327B61" w:rsidR="00D44D6C" w:rsidRPr="00300EE8" w:rsidRDefault="00D44D6C" w:rsidP="003A317B">
      <w:pPr>
        <w:spacing w:after="0" w:line="240" w:lineRule="auto"/>
        <w:ind w:left="0" w:firstLine="0"/>
        <w:rPr>
          <w:szCs w:val="20"/>
        </w:rPr>
      </w:pPr>
    </w:p>
    <w:p w14:paraId="09237646" w14:textId="5C90527F" w:rsidR="003163A1" w:rsidRPr="00300EE8" w:rsidRDefault="008F1E96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072FF" w:rsidRPr="00300EE8">
        <w:rPr>
          <w:szCs w:val="20"/>
        </w:rPr>
        <w:t>9</w:t>
      </w:r>
      <w:r w:rsidRPr="00300EE8">
        <w:rPr>
          <w:szCs w:val="20"/>
        </w:rPr>
        <w:t xml:space="preserve">.3. </w:t>
      </w:r>
      <w:r w:rsidR="005C50D7" w:rsidRPr="00300EE8">
        <w:rPr>
          <w:szCs w:val="20"/>
        </w:rPr>
        <w:t>«</w:t>
      </w:r>
      <w:r w:rsidR="003163A1" w:rsidRPr="00300EE8">
        <w:rPr>
          <w:szCs w:val="20"/>
        </w:rPr>
        <w:t>Оплачена</w:t>
      </w:r>
      <w:r w:rsidR="005C50D7" w:rsidRPr="00300EE8">
        <w:rPr>
          <w:szCs w:val="20"/>
        </w:rPr>
        <w:t xml:space="preserve">»: по даній Заявці відбулася оплата </w:t>
      </w:r>
      <w:r w:rsidR="000738BF" w:rsidRPr="00300EE8">
        <w:rPr>
          <w:szCs w:val="20"/>
        </w:rPr>
        <w:t>В</w:t>
      </w:r>
      <w:r w:rsidR="005C50D7" w:rsidRPr="00300EE8">
        <w:rPr>
          <w:szCs w:val="20"/>
        </w:rPr>
        <w:t>инагороди</w:t>
      </w:r>
      <w:r w:rsidR="003163A1" w:rsidRPr="00300EE8">
        <w:rPr>
          <w:szCs w:val="20"/>
        </w:rPr>
        <w:t>;</w:t>
      </w:r>
    </w:p>
    <w:p w14:paraId="1CAAB517" w14:textId="77777777" w:rsidR="00BF308C" w:rsidRPr="00300EE8" w:rsidRDefault="00BF308C" w:rsidP="003A317B">
      <w:pPr>
        <w:spacing w:after="0" w:line="240" w:lineRule="auto"/>
        <w:ind w:left="0" w:firstLine="0"/>
        <w:rPr>
          <w:szCs w:val="20"/>
        </w:rPr>
      </w:pPr>
    </w:p>
    <w:p w14:paraId="0D6E53C7" w14:textId="3BDA2659" w:rsidR="008F1E96" w:rsidRPr="00300EE8" w:rsidRDefault="008F1E96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072FF" w:rsidRPr="00300EE8">
        <w:rPr>
          <w:szCs w:val="20"/>
        </w:rPr>
        <w:t>9</w:t>
      </w:r>
      <w:r w:rsidRPr="00300EE8">
        <w:rPr>
          <w:szCs w:val="20"/>
        </w:rPr>
        <w:t xml:space="preserve">.4. </w:t>
      </w:r>
      <w:r w:rsidR="005C50D7" w:rsidRPr="00300EE8">
        <w:rPr>
          <w:szCs w:val="20"/>
        </w:rPr>
        <w:t>«</w:t>
      </w:r>
      <w:r w:rsidR="003163A1" w:rsidRPr="00300EE8">
        <w:rPr>
          <w:szCs w:val="20"/>
        </w:rPr>
        <w:t>Відмова у виплаті</w:t>
      </w:r>
      <w:r w:rsidR="008E5121" w:rsidRPr="00300EE8">
        <w:rPr>
          <w:szCs w:val="20"/>
        </w:rPr>
        <w:t>»:</w:t>
      </w:r>
    </w:p>
    <w:p w14:paraId="3AFDFD46" w14:textId="77777777" w:rsidR="005421F6" w:rsidRPr="00300EE8" w:rsidRDefault="005421F6" w:rsidP="003A317B">
      <w:pPr>
        <w:spacing w:after="0" w:line="240" w:lineRule="auto"/>
        <w:ind w:left="0" w:firstLine="0"/>
        <w:rPr>
          <w:szCs w:val="20"/>
        </w:rPr>
      </w:pPr>
    </w:p>
    <w:p w14:paraId="329A08A4" w14:textId="1BB0A8D8" w:rsidR="008F1E96" w:rsidRPr="00300EE8" w:rsidRDefault="008F1E96" w:rsidP="003A317B">
      <w:pPr>
        <w:pStyle w:val="3"/>
        <w:rPr>
          <w:rFonts w:cs="Century Gothic"/>
          <w:color w:val="000000"/>
          <w:sz w:val="20"/>
          <w:szCs w:val="20"/>
          <w:lang w:eastAsia="de-DE"/>
        </w:rPr>
      </w:pPr>
      <w:r w:rsidRPr="00300EE8">
        <w:rPr>
          <w:rFonts w:cs="Century Gothic"/>
          <w:color w:val="000000"/>
          <w:sz w:val="20"/>
          <w:szCs w:val="20"/>
          <w:lang w:eastAsia="de-DE"/>
        </w:rPr>
        <w:t xml:space="preserve">- Потенційний клієнт відмовився від </w:t>
      </w:r>
      <w:r w:rsidR="001072FF" w:rsidRPr="00300EE8">
        <w:rPr>
          <w:rFonts w:cs="Century Gothic"/>
          <w:color w:val="000000"/>
          <w:sz w:val="20"/>
          <w:szCs w:val="20"/>
          <w:lang w:eastAsia="de-DE"/>
        </w:rPr>
        <w:t>П</w:t>
      </w:r>
      <w:r w:rsidRPr="00300EE8">
        <w:rPr>
          <w:rFonts w:cs="Century Gothic"/>
          <w:color w:val="000000"/>
          <w:sz w:val="20"/>
          <w:szCs w:val="20"/>
          <w:lang w:eastAsia="de-DE"/>
        </w:rPr>
        <w:t>ослуги Банку самостійно;</w:t>
      </w:r>
    </w:p>
    <w:p w14:paraId="5A4A5471" w14:textId="43CFC848" w:rsidR="008F1E96" w:rsidRPr="00300EE8" w:rsidRDefault="008F1E96" w:rsidP="003A317B">
      <w:pPr>
        <w:pStyle w:val="3"/>
        <w:rPr>
          <w:rFonts w:cs="Century Gothic"/>
          <w:color w:val="000000"/>
          <w:sz w:val="20"/>
          <w:szCs w:val="20"/>
          <w:lang w:eastAsia="de-DE"/>
        </w:rPr>
      </w:pPr>
      <w:r w:rsidRPr="00300EE8">
        <w:rPr>
          <w:rFonts w:cs="Century Gothic"/>
          <w:color w:val="000000"/>
          <w:sz w:val="20"/>
          <w:szCs w:val="20"/>
          <w:lang w:eastAsia="de-DE"/>
        </w:rPr>
        <w:t>- Банк, керуючись законодавством України та внутрішніми нормативними документами</w:t>
      </w:r>
      <w:r w:rsidR="00D30389" w:rsidRPr="00300EE8">
        <w:rPr>
          <w:rFonts w:cs="Century Gothic"/>
          <w:color w:val="000000"/>
          <w:sz w:val="20"/>
          <w:szCs w:val="20"/>
          <w:lang w:eastAsia="de-DE"/>
        </w:rPr>
        <w:t xml:space="preserve"> Банку</w:t>
      </w:r>
      <w:r w:rsidRPr="00300EE8">
        <w:rPr>
          <w:rFonts w:cs="Century Gothic"/>
          <w:color w:val="000000"/>
          <w:sz w:val="20"/>
          <w:szCs w:val="20"/>
          <w:lang w:eastAsia="de-DE"/>
        </w:rPr>
        <w:t>, сам відмовив Потенційному клієнту;</w:t>
      </w:r>
    </w:p>
    <w:p w14:paraId="70965D39" w14:textId="77777777" w:rsidR="008F1E96" w:rsidRPr="00300EE8" w:rsidRDefault="008F1E96" w:rsidP="003A317B">
      <w:pPr>
        <w:pStyle w:val="3"/>
        <w:rPr>
          <w:rFonts w:cs="Century Gothic"/>
          <w:color w:val="000000"/>
          <w:sz w:val="20"/>
          <w:szCs w:val="20"/>
          <w:lang w:eastAsia="de-DE"/>
        </w:rPr>
      </w:pPr>
      <w:r w:rsidRPr="00300EE8">
        <w:rPr>
          <w:rFonts w:cs="Century Gothic"/>
          <w:color w:val="000000"/>
          <w:sz w:val="20"/>
          <w:szCs w:val="20"/>
          <w:lang w:eastAsia="de-DE"/>
        </w:rPr>
        <w:t>- Заявка, яка знаходилася в статусі «В роботі» більше 60 календарних днів;</w:t>
      </w:r>
    </w:p>
    <w:p w14:paraId="53833C4E" w14:textId="77777777" w:rsidR="008F1E96" w:rsidRPr="00300EE8" w:rsidRDefault="008F1E96" w:rsidP="003A317B">
      <w:pPr>
        <w:pStyle w:val="3"/>
        <w:rPr>
          <w:rFonts w:cs="Century Gothic"/>
          <w:color w:val="000000"/>
          <w:sz w:val="20"/>
          <w:szCs w:val="20"/>
          <w:lang w:eastAsia="de-DE"/>
        </w:rPr>
      </w:pPr>
      <w:r w:rsidRPr="00300EE8">
        <w:rPr>
          <w:rFonts w:cs="Century Gothic"/>
          <w:color w:val="000000"/>
          <w:sz w:val="20"/>
          <w:szCs w:val="20"/>
          <w:lang w:eastAsia="de-DE"/>
        </w:rPr>
        <w:t xml:space="preserve">- Повторна (дубльована) Заявка; </w:t>
      </w:r>
    </w:p>
    <w:p w14:paraId="6CAD6C0D" w14:textId="634A2E40" w:rsidR="008F1E96" w:rsidRPr="00300EE8" w:rsidRDefault="008F1E96" w:rsidP="003A317B">
      <w:pPr>
        <w:pStyle w:val="3"/>
        <w:rPr>
          <w:rFonts w:cs="Century Gothic"/>
          <w:color w:val="000000"/>
          <w:sz w:val="20"/>
          <w:szCs w:val="20"/>
          <w:lang w:eastAsia="de-DE"/>
        </w:rPr>
      </w:pPr>
      <w:r w:rsidRPr="00300EE8">
        <w:rPr>
          <w:rFonts w:cs="Century Gothic"/>
          <w:color w:val="000000"/>
          <w:sz w:val="20"/>
          <w:szCs w:val="20"/>
          <w:lang w:eastAsia="de-DE"/>
        </w:rPr>
        <w:t>- Заявка, по якій Партнер не виконав вимоги цієї Публічної обіцянки винагороди.</w:t>
      </w:r>
    </w:p>
    <w:p w14:paraId="0DF6032A" w14:textId="77777777" w:rsidR="00136894" w:rsidRPr="00300EE8" w:rsidRDefault="00136894" w:rsidP="003A317B">
      <w:pPr>
        <w:spacing w:after="0" w:line="240" w:lineRule="auto"/>
        <w:ind w:left="0" w:firstLine="0"/>
        <w:rPr>
          <w:szCs w:val="20"/>
        </w:rPr>
      </w:pPr>
    </w:p>
    <w:p w14:paraId="4894ED3F" w14:textId="409F45D0" w:rsidR="00E95097" w:rsidRPr="00300EE8" w:rsidRDefault="002A07BB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5.</w:t>
      </w:r>
      <w:r w:rsidR="001072FF" w:rsidRPr="00300EE8">
        <w:rPr>
          <w:szCs w:val="20"/>
        </w:rPr>
        <w:t>10</w:t>
      </w:r>
      <w:r w:rsidR="00E95097" w:rsidRPr="00300EE8">
        <w:rPr>
          <w:szCs w:val="20"/>
        </w:rPr>
        <w:t>. Банк не зобов’язаний повідомляти причину отримання Заявкою статусу «Відмова у виплаті».</w:t>
      </w:r>
      <w:r w:rsidR="00D9273C" w:rsidRPr="00300EE8">
        <w:rPr>
          <w:szCs w:val="20"/>
        </w:rPr>
        <w:t xml:space="preserve"> Всю інформацію щодо Заявки зі статусом «Відмова у виплаті» Партнер отримує самостійно у Потенційного клієнта.</w:t>
      </w:r>
    </w:p>
    <w:p w14:paraId="63C127B3" w14:textId="77777777" w:rsidR="00E15EC2" w:rsidRPr="00300EE8" w:rsidRDefault="00E15EC2" w:rsidP="003A317B">
      <w:pPr>
        <w:spacing w:after="0" w:line="240" w:lineRule="auto"/>
        <w:rPr>
          <w:szCs w:val="20"/>
        </w:rPr>
      </w:pPr>
    </w:p>
    <w:p w14:paraId="145E6620" w14:textId="27071B3D" w:rsidR="003163A1" w:rsidRPr="00300EE8" w:rsidRDefault="008E5121" w:rsidP="003A317B">
      <w:pPr>
        <w:pStyle w:val="1"/>
        <w:numPr>
          <w:ilvl w:val="0"/>
          <w:numId w:val="0"/>
        </w:numPr>
        <w:spacing w:after="0" w:line="240" w:lineRule="auto"/>
        <w:jc w:val="both"/>
        <w:rPr>
          <w:szCs w:val="20"/>
        </w:rPr>
      </w:pPr>
      <w:r w:rsidRPr="00300EE8">
        <w:rPr>
          <w:szCs w:val="20"/>
        </w:rPr>
        <w:t xml:space="preserve">6. </w:t>
      </w:r>
      <w:r w:rsidR="003163A1" w:rsidRPr="00300EE8">
        <w:rPr>
          <w:szCs w:val="20"/>
        </w:rPr>
        <w:t xml:space="preserve">Виплата </w:t>
      </w:r>
      <w:r w:rsidR="000738BF" w:rsidRPr="00300EE8">
        <w:rPr>
          <w:szCs w:val="20"/>
        </w:rPr>
        <w:t>В</w:t>
      </w:r>
      <w:r w:rsidR="003163A1" w:rsidRPr="00300EE8">
        <w:rPr>
          <w:szCs w:val="20"/>
        </w:rPr>
        <w:t>инагороди</w:t>
      </w:r>
    </w:p>
    <w:p w14:paraId="56ACBCF7" w14:textId="77777777" w:rsidR="005421F6" w:rsidRPr="00300EE8" w:rsidRDefault="005421F6" w:rsidP="003D3283">
      <w:pPr>
        <w:spacing w:after="0" w:line="240" w:lineRule="auto"/>
        <w:rPr>
          <w:szCs w:val="20"/>
        </w:rPr>
      </w:pPr>
    </w:p>
    <w:p w14:paraId="0480A41C" w14:textId="00DC7544" w:rsidR="003163A1" w:rsidRPr="00300EE8" w:rsidRDefault="00A11AC1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6.1. За В</w:t>
      </w:r>
      <w:r w:rsidR="005C50D7" w:rsidRPr="00300EE8">
        <w:rPr>
          <w:szCs w:val="20"/>
        </w:rPr>
        <w:t xml:space="preserve">иконане Завдання Банк </w:t>
      </w:r>
      <w:r w:rsidRPr="00300EE8">
        <w:rPr>
          <w:szCs w:val="20"/>
        </w:rPr>
        <w:t xml:space="preserve">сплачує Партнеру </w:t>
      </w:r>
      <w:r w:rsidR="000738BF" w:rsidRPr="00300EE8">
        <w:rPr>
          <w:szCs w:val="20"/>
        </w:rPr>
        <w:t>В</w:t>
      </w:r>
      <w:r w:rsidRPr="00300EE8">
        <w:rPr>
          <w:szCs w:val="20"/>
        </w:rPr>
        <w:t>инагороду в розмірах, передбачених Публічною обіцянкою винагороди.</w:t>
      </w:r>
    </w:p>
    <w:p w14:paraId="6D77ADE7" w14:textId="77777777" w:rsidR="00CB6879" w:rsidRPr="00300EE8" w:rsidRDefault="00CB6879" w:rsidP="003A317B">
      <w:pPr>
        <w:spacing w:after="0" w:line="240" w:lineRule="auto"/>
        <w:ind w:left="0" w:firstLine="0"/>
        <w:rPr>
          <w:szCs w:val="20"/>
        </w:rPr>
      </w:pPr>
    </w:p>
    <w:p w14:paraId="5624686A" w14:textId="463573C2" w:rsidR="00A11AC1" w:rsidRPr="00300EE8" w:rsidRDefault="00A11AC1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 xml:space="preserve">6.2. </w:t>
      </w:r>
      <w:r w:rsidR="000738BF" w:rsidRPr="00300EE8">
        <w:rPr>
          <w:szCs w:val="20"/>
        </w:rPr>
        <w:t xml:space="preserve">В разі виплати Винагороди Партнеру </w:t>
      </w:r>
      <w:r w:rsidR="00396B9D" w:rsidRPr="00300EE8">
        <w:rPr>
          <w:szCs w:val="20"/>
        </w:rPr>
        <w:t>фізичній особі</w:t>
      </w:r>
      <w:r w:rsidRPr="00300EE8">
        <w:rPr>
          <w:szCs w:val="20"/>
        </w:rPr>
        <w:t>, Банк виступає податковим агентом.</w:t>
      </w:r>
      <w:r w:rsidR="004F7887" w:rsidRPr="00300EE8">
        <w:rPr>
          <w:szCs w:val="20"/>
        </w:rPr>
        <w:t xml:space="preserve"> Сума податку</w:t>
      </w:r>
      <w:r w:rsidR="00715FFF" w:rsidRPr="00300EE8">
        <w:rPr>
          <w:szCs w:val="20"/>
        </w:rPr>
        <w:t>/збору</w:t>
      </w:r>
      <w:r w:rsidR="004F7887" w:rsidRPr="00300EE8">
        <w:rPr>
          <w:szCs w:val="20"/>
        </w:rPr>
        <w:t xml:space="preserve"> утримується Банком з суми </w:t>
      </w:r>
      <w:r w:rsidR="000738BF" w:rsidRPr="00300EE8">
        <w:rPr>
          <w:szCs w:val="20"/>
        </w:rPr>
        <w:t>В</w:t>
      </w:r>
      <w:r w:rsidR="004F7887" w:rsidRPr="00300EE8">
        <w:rPr>
          <w:szCs w:val="20"/>
        </w:rPr>
        <w:t xml:space="preserve">инагороди. </w:t>
      </w:r>
    </w:p>
    <w:p w14:paraId="07A860C4" w14:textId="77777777" w:rsidR="00CB6879" w:rsidRPr="00300EE8" w:rsidRDefault="00CB6879" w:rsidP="003A317B">
      <w:pPr>
        <w:spacing w:after="0" w:line="240" w:lineRule="auto"/>
        <w:ind w:left="0" w:firstLine="0"/>
        <w:rPr>
          <w:szCs w:val="20"/>
        </w:rPr>
      </w:pPr>
    </w:p>
    <w:p w14:paraId="4DC684B9" w14:textId="1D21BFCD" w:rsidR="00E95097" w:rsidRPr="00300EE8" w:rsidRDefault="00A11AC1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 xml:space="preserve">6.3. Винагорода виплачується по </w:t>
      </w:r>
      <w:r w:rsidR="00F04C2D" w:rsidRPr="00300EE8">
        <w:rPr>
          <w:szCs w:val="20"/>
        </w:rPr>
        <w:t>З</w:t>
      </w:r>
      <w:r w:rsidRPr="00300EE8">
        <w:rPr>
          <w:szCs w:val="20"/>
        </w:rPr>
        <w:t>аявкам зі статусом «До виплати»</w:t>
      </w:r>
      <w:r w:rsidR="00BE4141" w:rsidRPr="00300EE8">
        <w:rPr>
          <w:szCs w:val="20"/>
        </w:rPr>
        <w:t xml:space="preserve"> </w:t>
      </w:r>
      <w:r w:rsidR="00E61F28" w:rsidRPr="00300EE8">
        <w:rPr>
          <w:szCs w:val="20"/>
        </w:rPr>
        <w:t>до 15 числа</w:t>
      </w:r>
      <w:r w:rsidR="00A84873" w:rsidRPr="00300EE8">
        <w:rPr>
          <w:szCs w:val="20"/>
        </w:rPr>
        <w:t xml:space="preserve"> місяця,</w:t>
      </w:r>
      <w:r w:rsidR="00BE4141" w:rsidRPr="00300EE8">
        <w:rPr>
          <w:szCs w:val="20"/>
        </w:rPr>
        <w:t xml:space="preserve"> в якому Заявка набула статусу «До виплати»</w:t>
      </w:r>
      <w:r w:rsidRPr="00300EE8">
        <w:rPr>
          <w:szCs w:val="20"/>
        </w:rPr>
        <w:t xml:space="preserve">. Винагорода виплачується </w:t>
      </w:r>
      <w:r w:rsidR="005D0EB5" w:rsidRPr="00300EE8">
        <w:rPr>
          <w:szCs w:val="20"/>
        </w:rPr>
        <w:t xml:space="preserve">шляхом безготівкового перерахування коштів на </w:t>
      </w:r>
      <w:r w:rsidRPr="00300EE8">
        <w:rPr>
          <w:szCs w:val="20"/>
        </w:rPr>
        <w:t>поточний</w:t>
      </w:r>
      <w:r w:rsidR="009274BD" w:rsidRPr="00300EE8">
        <w:rPr>
          <w:szCs w:val="20"/>
        </w:rPr>
        <w:t xml:space="preserve"> або картковий</w:t>
      </w:r>
      <w:r w:rsidRPr="00300EE8">
        <w:rPr>
          <w:szCs w:val="20"/>
        </w:rPr>
        <w:t xml:space="preserve"> рахунок Партнера, який відкритий в Банку.</w:t>
      </w:r>
    </w:p>
    <w:p w14:paraId="18FF58F4" w14:textId="77777777" w:rsidR="00BF308C" w:rsidRPr="00300EE8" w:rsidRDefault="00BF308C" w:rsidP="003A317B">
      <w:pPr>
        <w:spacing w:after="0" w:line="240" w:lineRule="auto"/>
        <w:ind w:left="0" w:firstLine="0"/>
        <w:rPr>
          <w:szCs w:val="20"/>
        </w:rPr>
      </w:pPr>
    </w:p>
    <w:p w14:paraId="66B93C1A" w14:textId="0CD88CC4" w:rsidR="005D0EB5" w:rsidRPr="00300EE8" w:rsidRDefault="005D0EB5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6.</w:t>
      </w:r>
      <w:r w:rsidR="009456FD" w:rsidRPr="00300EE8">
        <w:rPr>
          <w:szCs w:val="20"/>
        </w:rPr>
        <w:t>4</w:t>
      </w:r>
      <w:r w:rsidRPr="00300EE8">
        <w:rPr>
          <w:szCs w:val="20"/>
        </w:rPr>
        <w:t xml:space="preserve">. Банк має право відмовити у виплаті </w:t>
      </w:r>
      <w:r w:rsidR="000738BF" w:rsidRPr="00300EE8">
        <w:rPr>
          <w:szCs w:val="20"/>
        </w:rPr>
        <w:t>В</w:t>
      </w:r>
      <w:r w:rsidRPr="00300EE8">
        <w:rPr>
          <w:szCs w:val="20"/>
        </w:rPr>
        <w:t>инагороди, якщо Партнер не виконав/не</w:t>
      </w:r>
      <w:r w:rsidR="006A0B12" w:rsidRPr="00300EE8">
        <w:rPr>
          <w:szCs w:val="20"/>
        </w:rPr>
        <w:t xml:space="preserve"> </w:t>
      </w:r>
      <w:r w:rsidRPr="00300EE8">
        <w:rPr>
          <w:szCs w:val="20"/>
        </w:rPr>
        <w:t>належним чином виконав всі умови передбачені Публічною обіцянкою винагороди</w:t>
      </w:r>
      <w:r w:rsidR="00E61F28" w:rsidRPr="00300EE8">
        <w:rPr>
          <w:szCs w:val="20"/>
        </w:rPr>
        <w:t>, в т.ч. у разі закриття рахунку</w:t>
      </w:r>
      <w:r w:rsidR="0074346F" w:rsidRPr="00300EE8">
        <w:rPr>
          <w:szCs w:val="20"/>
        </w:rPr>
        <w:t xml:space="preserve"> Партнера або Потенційного клієнта</w:t>
      </w:r>
      <w:r w:rsidR="00E61F28" w:rsidRPr="00300EE8">
        <w:rPr>
          <w:szCs w:val="20"/>
        </w:rPr>
        <w:t xml:space="preserve"> в Банку до моменту отримання Винагороди</w:t>
      </w:r>
      <w:r w:rsidRPr="00300EE8">
        <w:rPr>
          <w:szCs w:val="20"/>
        </w:rPr>
        <w:t>.</w:t>
      </w:r>
    </w:p>
    <w:p w14:paraId="0812BF58" w14:textId="77777777" w:rsidR="00BF308C" w:rsidRPr="00300EE8" w:rsidRDefault="00BF308C" w:rsidP="003A317B">
      <w:pPr>
        <w:spacing w:after="0" w:line="240" w:lineRule="auto"/>
        <w:rPr>
          <w:szCs w:val="20"/>
        </w:rPr>
      </w:pPr>
    </w:p>
    <w:p w14:paraId="6B439CF7" w14:textId="10E5ACC7" w:rsidR="005D0EB5" w:rsidRPr="00300EE8" w:rsidRDefault="00257754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6.</w:t>
      </w:r>
      <w:r w:rsidR="009456FD" w:rsidRPr="00300EE8">
        <w:rPr>
          <w:szCs w:val="20"/>
        </w:rPr>
        <w:t>5</w:t>
      </w:r>
      <w:r w:rsidRPr="00300EE8">
        <w:rPr>
          <w:szCs w:val="20"/>
        </w:rPr>
        <w:t>.</w:t>
      </w:r>
      <w:r w:rsidRPr="00300EE8">
        <w:rPr>
          <w:rFonts w:eastAsia="Arial" w:cs="Arial"/>
          <w:szCs w:val="20"/>
        </w:rPr>
        <w:t xml:space="preserve"> </w:t>
      </w:r>
      <w:r w:rsidRPr="00300EE8">
        <w:rPr>
          <w:szCs w:val="20"/>
        </w:rPr>
        <w:t xml:space="preserve">Якщо будь-який Партнер, який має право на отримання </w:t>
      </w:r>
      <w:r w:rsidR="000738BF" w:rsidRPr="00300EE8">
        <w:rPr>
          <w:szCs w:val="20"/>
        </w:rPr>
        <w:t>В</w:t>
      </w:r>
      <w:r w:rsidRPr="00300EE8">
        <w:rPr>
          <w:szCs w:val="20"/>
        </w:rPr>
        <w:t xml:space="preserve">инагороди, з будь-яких причин, що не залежать від Банку (в тому числі якщо інформація про Партнера або </w:t>
      </w:r>
      <w:r w:rsidR="0076157C" w:rsidRPr="00300EE8">
        <w:rPr>
          <w:szCs w:val="20"/>
        </w:rPr>
        <w:t>Потенційного клієнта</w:t>
      </w:r>
      <w:r w:rsidRPr="00300EE8">
        <w:rPr>
          <w:szCs w:val="20"/>
        </w:rPr>
        <w:t xml:space="preserve"> була змінена, або була вказана Партнером у Заявці невірно та/або нерозбірливо та інше) не має можливості отримати </w:t>
      </w:r>
      <w:r w:rsidR="000738BF" w:rsidRPr="00300EE8">
        <w:rPr>
          <w:szCs w:val="20"/>
        </w:rPr>
        <w:t>В</w:t>
      </w:r>
      <w:r w:rsidRPr="00300EE8">
        <w:rPr>
          <w:szCs w:val="20"/>
        </w:rPr>
        <w:t>инагороду, такий Партнер не має права на отримання жодних додаткових заохочень, компенсацій або інших виплат від Банку.</w:t>
      </w:r>
    </w:p>
    <w:p w14:paraId="6723F12C" w14:textId="77777777" w:rsidR="00E15EC2" w:rsidRPr="00300EE8" w:rsidRDefault="00E15EC2" w:rsidP="003A317B">
      <w:pPr>
        <w:spacing w:after="0" w:line="240" w:lineRule="auto"/>
        <w:rPr>
          <w:szCs w:val="20"/>
        </w:rPr>
      </w:pPr>
    </w:p>
    <w:p w14:paraId="1BE9A2AC" w14:textId="053FDE40" w:rsidR="00813F4C" w:rsidRPr="00300EE8" w:rsidRDefault="00DE23A9" w:rsidP="003A317B">
      <w:pPr>
        <w:pStyle w:val="1"/>
        <w:numPr>
          <w:ilvl w:val="0"/>
          <w:numId w:val="0"/>
        </w:numPr>
        <w:spacing w:after="0" w:line="240" w:lineRule="auto"/>
        <w:ind w:left="273" w:hanging="273"/>
        <w:jc w:val="both"/>
        <w:rPr>
          <w:szCs w:val="20"/>
        </w:rPr>
      </w:pPr>
      <w:r w:rsidRPr="00300EE8">
        <w:rPr>
          <w:szCs w:val="20"/>
        </w:rPr>
        <w:t xml:space="preserve">7. </w:t>
      </w:r>
      <w:r w:rsidR="004E1EA6" w:rsidRPr="00300EE8">
        <w:rPr>
          <w:szCs w:val="20"/>
        </w:rPr>
        <w:t>Умови</w:t>
      </w:r>
      <w:r w:rsidR="00813F4C" w:rsidRPr="00300EE8">
        <w:rPr>
          <w:szCs w:val="20"/>
        </w:rPr>
        <w:t xml:space="preserve"> обробк</w:t>
      </w:r>
      <w:r w:rsidR="004E1EA6" w:rsidRPr="00300EE8">
        <w:rPr>
          <w:szCs w:val="20"/>
        </w:rPr>
        <w:t>и</w:t>
      </w:r>
      <w:r w:rsidR="00813F4C" w:rsidRPr="00300EE8">
        <w:rPr>
          <w:szCs w:val="20"/>
        </w:rPr>
        <w:t xml:space="preserve"> персональних даних</w:t>
      </w:r>
    </w:p>
    <w:p w14:paraId="7E3DE1A9" w14:textId="77777777" w:rsidR="005421F6" w:rsidRPr="00300EE8" w:rsidRDefault="005421F6" w:rsidP="003D3283">
      <w:pPr>
        <w:spacing w:after="0" w:line="240" w:lineRule="auto"/>
        <w:rPr>
          <w:szCs w:val="20"/>
        </w:rPr>
      </w:pPr>
    </w:p>
    <w:p w14:paraId="6D126C89" w14:textId="77777777" w:rsidR="00813F4C" w:rsidRPr="00300EE8" w:rsidRDefault="00813F4C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Згідно з цією Публічною обіцянкою винагороди Партнер підтверджує, що є власником вказаних у Заявці персональних даних і надана ним інформація є точною й достовірною.</w:t>
      </w:r>
    </w:p>
    <w:p w14:paraId="534DEF18" w14:textId="77777777" w:rsidR="00BF308C" w:rsidRPr="00300EE8" w:rsidRDefault="00BF308C" w:rsidP="003A317B">
      <w:pPr>
        <w:spacing w:after="0" w:line="240" w:lineRule="auto"/>
        <w:ind w:left="0" w:firstLine="0"/>
        <w:rPr>
          <w:szCs w:val="20"/>
        </w:rPr>
      </w:pPr>
    </w:p>
    <w:p w14:paraId="76DAAB9E" w14:textId="0F3DC0DE" w:rsidR="00813F4C" w:rsidRPr="00300EE8" w:rsidRDefault="00813F4C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lastRenderedPageBreak/>
        <w:t>Заповнюючи Заявку, Партнер надає Банку згоду на здійснення дій щодо обробки його персональних даних з метою ідентифікації Партнера як клієнта Банку</w:t>
      </w:r>
      <w:r w:rsidR="001F27C1" w:rsidRPr="00300EE8">
        <w:rPr>
          <w:szCs w:val="20"/>
        </w:rPr>
        <w:t xml:space="preserve"> та виконання умов цієї Публічної обіцянки</w:t>
      </w:r>
      <w:r w:rsidR="00E21A5C" w:rsidRPr="00300EE8">
        <w:rPr>
          <w:szCs w:val="20"/>
        </w:rPr>
        <w:t xml:space="preserve"> винагороди</w:t>
      </w:r>
      <w:r w:rsidRPr="00300EE8">
        <w:rPr>
          <w:szCs w:val="20"/>
        </w:rPr>
        <w:t>.</w:t>
      </w:r>
    </w:p>
    <w:p w14:paraId="0AE7D8DF" w14:textId="77777777" w:rsidR="00BF308C" w:rsidRPr="00300EE8" w:rsidRDefault="00BF308C" w:rsidP="003A317B">
      <w:pPr>
        <w:spacing w:after="0" w:line="240" w:lineRule="auto"/>
        <w:ind w:left="0" w:firstLine="0"/>
        <w:rPr>
          <w:szCs w:val="20"/>
        </w:rPr>
      </w:pPr>
    </w:p>
    <w:p w14:paraId="3DF6C34F" w14:textId="32C7ED85" w:rsidR="00813F4C" w:rsidRPr="00300EE8" w:rsidRDefault="00813F4C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 xml:space="preserve">При цьому Банк уповноважується здійснювати обробку персональних даних в обсязі інформації, що була вказана Партнером в Заявці, буде додатково отримана Банком від </w:t>
      </w:r>
      <w:r w:rsidR="00B43B7F" w:rsidRPr="00300EE8">
        <w:rPr>
          <w:szCs w:val="20"/>
        </w:rPr>
        <w:t>Партнера</w:t>
      </w:r>
      <w:r w:rsidRPr="00300EE8">
        <w:rPr>
          <w:szCs w:val="20"/>
        </w:rPr>
        <w:t xml:space="preserve"> особисто чи </w:t>
      </w:r>
      <w:r w:rsidR="00B43B7F" w:rsidRPr="00300EE8">
        <w:rPr>
          <w:szCs w:val="20"/>
        </w:rPr>
        <w:t>його</w:t>
      </w:r>
      <w:r w:rsidRPr="00300EE8">
        <w:rPr>
          <w:szCs w:val="20"/>
        </w:rPr>
        <w:t xml:space="preserve"> представників, від третіх осіб або отримана із загальнодоступних джерел, у тому числі публічної інформації у формі відкритих даних, змінювати/доповнювати персональні дані </w:t>
      </w:r>
      <w:r w:rsidR="00B43B7F" w:rsidRPr="00300EE8">
        <w:rPr>
          <w:szCs w:val="20"/>
        </w:rPr>
        <w:t xml:space="preserve">Партнера </w:t>
      </w:r>
      <w:r w:rsidRPr="00300EE8">
        <w:rPr>
          <w:szCs w:val="20"/>
        </w:rPr>
        <w:t xml:space="preserve">за інформацією третіх осіб, звертатися до третіх осіб для їх перевірки. </w:t>
      </w:r>
    </w:p>
    <w:p w14:paraId="66903CC8" w14:textId="77777777" w:rsidR="00BF308C" w:rsidRPr="00300EE8" w:rsidRDefault="00BF308C" w:rsidP="003A317B">
      <w:pPr>
        <w:spacing w:after="0" w:line="240" w:lineRule="auto"/>
        <w:ind w:left="0" w:firstLine="0"/>
        <w:rPr>
          <w:szCs w:val="20"/>
        </w:rPr>
      </w:pPr>
    </w:p>
    <w:p w14:paraId="3EAF91BB" w14:textId="42BA2D1D" w:rsidR="00813F4C" w:rsidRPr="00300EE8" w:rsidRDefault="00813F4C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 xml:space="preserve">Без отримання додаткової письмової згоди та окремого повідомлення, </w:t>
      </w:r>
      <w:r w:rsidR="00B43B7F" w:rsidRPr="00300EE8">
        <w:rPr>
          <w:szCs w:val="20"/>
        </w:rPr>
        <w:t>Партнер надає</w:t>
      </w:r>
      <w:r w:rsidR="00BF308C" w:rsidRPr="00300EE8">
        <w:rPr>
          <w:szCs w:val="20"/>
        </w:rPr>
        <w:t xml:space="preserve"> Банку згоду:</w:t>
      </w:r>
    </w:p>
    <w:p w14:paraId="7B619928" w14:textId="77777777" w:rsidR="00530C70" w:rsidRPr="00300EE8" w:rsidRDefault="00530C70" w:rsidP="003A317B">
      <w:pPr>
        <w:spacing w:after="0" w:line="240" w:lineRule="auto"/>
        <w:ind w:left="0" w:firstLine="0"/>
        <w:rPr>
          <w:szCs w:val="20"/>
        </w:rPr>
      </w:pPr>
    </w:p>
    <w:p w14:paraId="70767937" w14:textId="77777777" w:rsidR="00813F4C" w:rsidRPr="00300EE8" w:rsidRDefault="00B43B7F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- телефонувати Партнеру</w:t>
      </w:r>
      <w:r w:rsidR="00813F4C" w:rsidRPr="00300EE8">
        <w:rPr>
          <w:szCs w:val="20"/>
        </w:rPr>
        <w:t>, направляти SMS-повідомлення</w:t>
      </w:r>
      <w:r w:rsidRPr="00300EE8">
        <w:rPr>
          <w:szCs w:val="20"/>
        </w:rPr>
        <w:t>, направляти електронні листи</w:t>
      </w:r>
      <w:r w:rsidR="00813F4C" w:rsidRPr="00300EE8">
        <w:rPr>
          <w:szCs w:val="20"/>
        </w:rPr>
        <w:t xml:space="preserve"> з питань, пов'язаних з </w:t>
      </w:r>
      <w:r w:rsidR="00276CD3" w:rsidRPr="00300EE8">
        <w:rPr>
          <w:szCs w:val="20"/>
        </w:rPr>
        <w:t>виконанням цієї Публічної обіцянки винагороди</w:t>
      </w:r>
      <w:r w:rsidR="00813F4C" w:rsidRPr="00300EE8">
        <w:rPr>
          <w:szCs w:val="20"/>
        </w:rPr>
        <w:t xml:space="preserve"> на зазначений у Заяв</w:t>
      </w:r>
      <w:r w:rsidR="00276CD3" w:rsidRPr="00300EE8">
        <w:rPr>
          <w:szCs w:val="20"/>
        </w:rPr>
        <w:t>ц</w:t>
      </w:r>
      <w:r w:rsidR="00813F4C" w:rsidRPr="00300EE8">
        <w:rPr>
          <w:szCs w:val="20"/>
        </w:rPr>
        <w:t>і номер мобільного телефону</w:t>
      </w:r>
      <w:r w:rsidR="00276CD3" w:rsidRPr="00300EE8">
        <w:rPr>
          <w:szCs w:val="20"/>
        </w:rPr>
        <w:t xml:space="preserve"> та електронну адресу</w:t>
      </w:r>
      <w:r w:rsidR="00813F4C" w:rsidRPr="00300EE8">
        <w:rPr>
          <w:szCs w:val="20"/>
        </w:rPr>
        <w:t xml:space="preserve">, у т.ч. з метою додаткового уточнення інформації; </w:t>
      </w:r>
    </w:p>
    <w:p w14:paraId="0C151B5C" w14:textId="3AEFDD2F" w:rsidR="00813F4C" w:rsidRPr="00300EE8" w:rsidRDefault="00813F4C" w:rsidP="003A317B">
      <w:pPr>
        <w:spacing w:after="0" w:line="240" w:lineRule="auto"/>
        <w:rPr>
          <w:szCs w:val="20"/>
        </w:rPr>
      </w:pPr>
      <w:r w:rsidRPr="00300EE8">
        <w:rPr>
          <w:szCs w:val="20"/>
        </w:rPr>
        <w:t xml:space="preserve">- здійснювати аналіз і перевірку наданої </w:t>
      </w:r>
      <w:r w:rsidR="00276CD3" w:rsidRPr="00300EE8">
        <w:rPr>
          <w:szCs w:val="20"/>
        </w:rPr>
        <w:t>Партнером</w:t>
      </w:r>
      <w:r w:rsidRPr="00300EE8">
        <w:rPr>
          <w:szCs w:val="20"/>
        </w:rPr>
        <w:t xml:space="preserve"> інформації.</w:t>
      </w:r>
    </w:p>
    <w:p w14:paraId="2A74D6D5" w14:textId="77777777" w:rsidR="008D016B" w:rsidRPr="00300EE8" w:rsidRDefault="008D016B" w:rsidP="003A317B">
      <w:pPr>
        <w:spacing w:after="0" w:line="240" w:lineRule="auto"/>
        <w:ind w:left="0" w:firstLine="0"/>
        <w:rPr>
          <w:szCs w:val="20"/>
        </w:rPr>
      </w:pPr>
    </w:p>
    <w:p w14:paraId="20C74CF3" w14:textId="248B51C6" w:rsidR="00813F4C" w:rsidRPr="00300EE8" w:rsidRDefault="00276CD3" w:rsidP="003A317B">
      <w:pPr>
        <w:spacing w:after="0" w:line="240" w:lineRule="auto"/>
        <w:ind w:left="0" w:firstLine="0"/>
        <w:rPr>
          <w:szCs w:val="20"/>
        </w:rPr>
      </w:pPr>
      <w:r w:rsidRPr="00300EE8">
        <w:rPr>
          <w:szCs w:val="20"/>
        </w:rPr>
        <w:t>Партнер усвідомлює та погоджується</w:t>
      </w:r>
      <w:r w:rsidR="00813F4C" w:rsidRPr="00300EE8">
        <w:rPr>
          <w:szCs w:val="20"/>
        </w:rPr>
        <w:t xml:space="preserve">, що обробка </w:t>
      </w:r>
      <w:r w:rsidRPr="00300EE8">
        <w:rPr>
          <w:szCs w:val="20"/>
        </w:rPr>
        <w:t>його</w:t>
      </w:r>
      <w:r w:rsidR="00813F4C" w:rsidRPr="00300EE8">
        <w:rPr>
          <w:szCs w:val="20"/>
        </w:rPr>
        <w:t xml:space="preserve"> персональних даних може здійснюватися, зокрема, із використанням різних засобів зв‘я</w:t>
      </w:r>
      <w:r w:rsidRPr="00300EE8">
        <w:rPr>
          <w:szCs w:val="20"/>
        </w:rPr>
        <w:t>зку, мережі Інтернет. Усвідомлює</w:t>
      </w:r>
      <w:r w:rsidR="00813F4C" w:rsidRPr="00300EE8">
        <w:rPr>
          <w:szCs w:val="20"/>
        </w:rPr>
        <w:t>, що направлена (передана) таким способом інформація може стати дост</w:t>
      </w:r>
      <w:r w:rsidRPr="00300EE8">
        <w:rPr>
          <w:szCs w:val="20"/>
        </w:rPr>
        <w:t>упною третім особам, та звільняє</w:t>
      </w:r>
      <w:r w:rsidR="00813F4C" w:rsidRPr="00300EE8">
        <w:rPr>
          <w:szCs w:val="20"/>
        </w:rPr>
        <w:t xml:space="preserve"> Банк від пов‘язаної із цим відповідальності (крім випадків, коли розкриття інформації відбулося в результаті протиправних дій Банку).</w:t>
      </w:r>
    </w:p>
    <w:p w14:paraId="22EEB3A2" w14:textId="77777777" w:rsidR="008D016B" w:rsidRPr="00300EE8" w:rsidRDefault="008D016B" w:rsidP="003A317B">
      <w:pPr>
        <w:spacing w:after="0" w:line="240" w:lineRule="auto"/>
        <w:ind w:left="0" w:firstLine="0"/>
        <w:rPr>
          <w:szCs w:val="20"/>
        </w:rPr>
      </w:pPr>
    </w:p>
    <w:p w14:paraId="18DFC66B" w14:textId="0FCCE8E2" w:rsidR="00813F4C" w:rsidRPr="00300EE8" w:rsidRDefault="00276CD3" w:rsidP="003A317B">
      <w:pPr>
        <w:spacing w:after="0" w:line="240" w:lineRule="auto"/>
        <w:ind w:left="0" w:right="0" w:firstLine="0"/>
        <w:rPr>
          <w:rFonts w:eastAsia="Times New Roman" w:cs="Segoe UI"/>
          <w:color w:val="auto"/>
          <w:szCs w:val="20"/>
        </w:rPr>
      </w:pPr>
      <w:r w:rsidRPr="00300EE8">
        <w:rPr>
          <w:szCs w:val="20"/>
        </w:rPr>
        <w:t>Партнер засвідчує, що він усвідомлює</w:t>
      </w:r>
      <w:r w:rsidR="00813F4C" w:rsidRPr="00300EE8">
        <w:rPr>
          <w:szCs w:val="20"/>
        </w:rPr>
        <w:t xml:space="preserve"> склад та зміст </w:t>
      </w:r>
      <w:r w:rsidRPr="00300EE8">
        <w:rPr>
          <w:szCs w:val="20"/>
        </w:rPr>
        <w:t>його</w:t>
      </w:r>
      <w:r w:rsidR="00813F4C" w:rsidRPr="00300EE8">
        <w:rPr>
          <w:szCs w:val="20"/>
        </w:rPr>
        <w:t xml:space="preserve"> персональних даних, що збираються Банком після  заповнення </w:t>
      </w:r>
      <w:r w:rsidRPr="00300EE8">
        <w:rPr>
          <w:szCs w:val="20"/>
        </w:rPr>
        <w:t>Партнером</w:t>
      </w:r>
      <w:r w:rsidR="00813F4C" w:rsidRPr="00300EE8">
        <w:rPr>
          <w:szCs w:val="20"/>
        </w:rPr>
        <w:t xml:space="preserve"> Заяв</w:t>
      </w:r>
      <w:r w:rsidRPr="00300EE8">
        <w:rPr>
          <w:szCs w:val="20"/>
        </w:rPr>
        <w:t>к</w:t>
      </w:r>
      <w:r w:rsidR="00813F4C" w:rsidRPr="00300EE8">
        <w:rPr>
          <w:szCs w:val="20"/>
        </w:rPr>
        <w:t xml:space="preserve">и, про мету збору </w:t>
      </w:r>
      <w:r w:rsidRPr="00300EE8">
        <w:rPr>
          <w:szCs w:val="20"/>
        </w:rPr>
        <w:t>його</w:t>
      </w:r>
      <w:r w:rsidR="00813F4C" w:rsidRPr="00300EE8">
        <w:rPr>
          <w:szCs w:val="20"/>
        </w:rPr>
        <w:t xml:space="preserve"> персональних даних та про осіб, яким передаються </w:t>
      </w:r>
      <w:r w:rsidRPr="00300EE8">
        <w:rPr>
          <w:szCs w:val="20"/>
        </w:rPr>
        <w:t>його</w:t>
      </w:r>
      <w:r w:rsidR="00813F4C" w:rsidRPr="00300EE8">
        <w:rPr>
          <w:szCs w:val="20"/>
        </w:rPr>
        <w:t xml:space="preserve"> персональні дані, а також ознайомлений на сайті Банку </w:t>
      </w:r>
      <w:r w:rsidR="00813F4C" w:rsidRPr="00300EE8">
        <w:rPr>
          <w:color w:val="auto"/>
          <w:szCs w:val="20"/>
        </w:rPr>
        <w:t>(www.</w:t>
      </w:r>
      <w:hyperlink r:id="rId15" w:history="1">
        <w:r w:rsidR="00A64719" w:rsidRPr="00300EE8">
          <w:rPr>
            <w:rStyle w:val="a3"/>
            <w:rFonts w:cs="Segoe UI"/>
            <w:color w:val="auto"/>
            <w:szCs w:val="20"/>
            <w:u w:val="none"/>
          </w:rPr>
          <w:t>raiffeisen.ua</w:t>
        </w:r>
      </w:hyperlink>
      <w:r w:rsidR="00813F4C" w:rsidRPr="00300EE8">
        <w:rPr>
          <w:color w:val="auto"/>
          <w:szCs w:val="20"/>
        </w:rPr>
        <w:t xml:space="preserve">) </w:t>
      </w:r>
      <w:r w:rsidR="00813F4C" w:rsidRPr="00300EE8">
        <w:rPr>
          <w:szCs w:val="20"/>
        </w:rPr>
        <w:t>з повідомленням Банку про порядок обробки персональних даних клієнтів, про права суб’єктів персональних даних, передбачені Законом України «Про захист персональних даних».</w:t>
      </w:r>
    </w:p>
    <w:p w14:paraId="2B384783" w14:textId="77777777" w:rsidR="00E15EC2" w:rsidRPr="00300EE8" w:rsidRDefault="00E15EC2" w:rsidP="003A317B">
      <w:pPr>
        <w:spacing w:after="0" w:line="240" w:lineRule="auto"/>
        <w:rPr>
          <w:szCs w:val="20"/>
        </w:rPr>
      </w:pPr>
    </w:p>
    <w:p w14:paraId="5BCBBCED" w14:textId="25474C67" w:rsidR="00E96389" w:rsidRPr="00300EE8" w:rsidRDefault="00DE23A9" w:rsidP="003A317B">
      <w:pPr>
        <w:pStyle w:val="1"/>
        <w:numPr>
          <w:ilvl w:val="0"/>
          <w:numId w:val="0"/>
        </w:numPr>
        <w:spacing w:after="0" w:line="240" w:lineRule="auto"/>
        <w:ind w:left="10"/>
        <w:jc w:val="both"/>
        <w:rPr>
          <w:szCs w:val="20"/>
        </w:rPr>
      </w:pPr>
      <w:r w:rsidRPr="00300EE8">
        <w:rPr>
          <w:szCs w:val="20"/>
        </w:rPr>
        <w:t xml:space="preserve">8. </w:t>
      </w:r>
      <w:r w:rsidR="00160BDE" w:rsidRPr="00300EE8">
        <w:rPr>
          <w:szCs w:val="20"/>
        </w:rPr>
        <w:t>Інші умови</w:t>
      </w:r>
    </w:p>
    <w:p w14:paraId="3B4AE183" w14:textId="77777777" w:rsidR="00530C70" w:rsidRPr="00300EE8" w:rsidRDefault="00530C70" w:rsidP="003D3283">
      <w:pPr>
        <w:spacing w:after="0" w:line="240" w:lineRule="auto"/>
        <w:rPr>
          <w:szCs w:val="20"/>
        </w:rPr>
      </w:pPr>
    </w:p>
    <w:p w14:paraId="321BC9EF" w14:textId="4F9FF800" w:rsidR="00E96389" w:rsidRPr="00300EE8" w:rsidRDefault="00160BDE" w:rsidP="003A317B">
      <w:pPr>
        <w:spacing w:after="0" w:line="240" w:lineRule="auto"/>
        <w:ind w:left="0" w:right="1" w:firstLine="0"/>
        <w:rPr>
          <w:szCs w:val="20"/>
        </w:rPr>
      </w:pPr>
      <w:r w:rsidRPr="00300EE8">
        <w:rPr>
          <w:szCs w:val="20"/>
        </w:rPr>
        <w:t>8.1.</w:t>
      </w:r>
      <w:r w:rsidRPr="00300EE8">
        <w:rPr>
          <w:rFonts w:eastAsia="Arial" w:cs="Arial"/>
          <w:szCs w:val="20"/>
        </w:rPr>
        <w:t xml:space="preserve"> </w:t>
      </w:r>
      <w:r w:rsidRPr="00300EE8">
        <w:rPr>
          <w:szCs w:val="20"/>
        </w:rPr>
        <w:t xml:space="preserve">Порушення </w:t>
      </w:r>
      <w:r w:rsidR="00257754" w:rsidRPr="00300EE8">
        <w:rPr>
          <w:szCs w:val="20"/>
        </w:rPr>
        <w:t>Партнером умов Публічної обіцянки винагороди</w:t>
      </w:r>
      <w:r w:rsidRPr="00300EE8">
        <w:rPr>
          <w:szCs w:val="20"/>
        </w:rPr>
        <w:t xml:space="preserve"> або відмова </w:t>
      </w:r>
      <w:r w:rsidR="00257754" w:rsidRPr="00300EE8">
        <w:rPr>
          <w:szCs w:val="20"/>
        </w:rPr>
        <w:t>Партнера</w:t>
      </w:r>
      <w:r w:rsidRPr="00300EE8">
        <w:rPr>
          <w:szCs w:val="20"/>
        </w:rPr>
        <w:t xml:space="preserve"> від належного виконання </w:t>
      </w:r>
      <w:r w:rsidR="00257754" w:rsidRPr="00300EE8">
        <w:rPr>
          <w:szCs w:val="20"/>
        </w:rPr>
        <w:t>умов Публічної обіцянки винагороди</w:t>
      </w:r>
      <w:r w:rsidRPr="00300EE8">
        <w:rPr>
          <w:szCs w:val="20"/>
        </w:rPr>
        <w:t xml:space="preserve"> вважається відмовою </w:t>
      </w:r>
      <w:r w:rsidR="00257754" w:rsidRPr="00300EE8">
        <w:rPr>
          <w:szCs w:val="20"/>
        </w:rPr>
        <w:t>Партнера</w:t>
      </w:r>
      <w:r w:rsidRPr="00300EE8">
        <w:rPr>
          <w:szCs w:val="20"/>
        </w:rPr>
        <w:t xml:space="preserve"> від участі в </w:t>
      </w:r>
      <w:r w:rsidR="00257754" w:rsidRPr="00300EE8">
        <w:rPr>
          <w:szCs w:val="20"/>
        </w:rPr>
        <w:t>Публічній обіцянці винагороди</w:t>
      </w:r>
      <w:r w:rsidRPr="00300EE8">
        <w:rPr>
          <w:szCs w:val="20"/>
        </w:rPr>
        <w:t>, при</w:t>
      </w:r>
      <w:r w:rsidR="00257754" w:rsidRPr="00300EE8">
        <w:rPr>
          <w:szCs w:val="20"/>
        </w:rPr>
        <w:t xml:space="preserve"> цьому такий</w:t>
      </w:r>
      <w:r w:rsidRPr="00300EE8">
        <w:rPr>
          <w:szCs w:val="20"/>
        </w:rPr>
        <w:t xml:space="preserve"> </w:t>
      </w:r>
      <w:r w:rsidR="00257754" w:rsidRPr="00300EE8">
        <w:rPr>
          <w:szCs w:val="20"/>
        </w:rPr>
        <w:t>Партнер</w:t>
      </w:r>
      <w:r w:rsidRPr="00300EE8">
        <w:rPr>
          <w:szCs w:val="20"/>
        </w:rPr>
        <w:t xml:space="preserve"> не має права на одержання </w:t>
      </w:r>
      <w:r w:rsidR="00257754" w:rsidRPr="00300EE8">
        <w:rPr>
          <w:szCs w:val="20"/>
        </w:rPr>
        <w:t xml:space="preserve">винагороди </w:t>
      </w:r>
      <w:r w:rsidRPr="00300EE8">
        <w:rPr>
          <w:szCs w:val="20"/>
        </w:rPr>
        <w:t xml:space="preserve">від </w:t>
      </w:r>
      <w:r w:rsidR="00257754" w:rsidRPr="00300EE8">
        <w:rPr>
          <w:szCs w:val="20"/>
        </w:rPr>
        <w:t>Банку</w:t>
      </w:r>
      <w:r w:rsidRPr="00300EE8">
        <w:rPr>
          <w:szCs w:val="20"/>
        </w:rPr>
        <w:t xml:space="preserve">. </w:t>
      </w:r>
    </w:p>
    <w:p w14:paraId="0B4EDC7A" w14:textId="77777777" w:rsidR="00142DF4" w:rsidRPr="00300EE8" w:rsidRDefault="00142DF4" w:rsidP="003A317B">
      <w:pPr>
        <w:spacing w:after="0" w:line="240" w:lineRule="auto"/>
        <w:ind w:left="0" w:right="1" w:hanging="15"/>
        <w:rPr>
          <w:szCs w:val="20"/>
        </w:rPr>
      </w:pPr>
    </w:p>
    <w:p w14:paraId="6F1E96A2" w14:textId="44444D1B" w:rsidR="00E96389" w:rsidRPr="00300EE8" w:rsidRDefault="00160BDE" w:rsidP="003A317B">
      <w:pPr>
        <w:spacing w:after="0" w:line="240" w:lineRule="auto"/>
        <w:ind w:left="0" w:right="1" w:hanging="15"/>
        <w:rPr>
          <w:szCs w:val="20"/>
        </w:rPr>
      </w:pPr>
      <w:r w:rsidRPr="00300EE8">
        <w:rPr>
          <w:szCs w:val="20"/>
        </w:rPr>
        <w:t>8.2.</w:t>
      </w:r>
      <w:r w:rsidRPr="00300EE8">
        <w:rPr>
          <w:rFonts w:eastAsia="Arial" w:cs="Arial"/>
          <w:szCs w:val="20"/>
        </w:rPr>
        <w:t xml:space="preserve"> </w:t>
      </w:r>
      <w:r w:rsidRPr="00300EE8">
        <w:rPr>
          <w:szCs w:val="20"/>
        </w:rPr>
        <w:t xml:space="preserve">У випадку виникнення ситуації, що припускає неоднозначне тлумачення </w:t>
      </w:r>
      <w:r w:rsidR="00257754" w:rsidRPr="00300EE8">
        <w:rPr>
          <w:szCs w:val="20"/>
        </w:rPr>
        <w:t>умов цієї Публічної обіцянки винагороди</w:t>
      </w:r>
      <w:r w:rsidRPr="00300EE8">
        <w:rPr>
          <w:szCs w:val="20"/>
        </w:rPr>
        <w:t>, будь</w:t>
      </w:r>
      <w:r w:rsidR="00257754" w:rsidRPr="00300EE8">
        <w:rPr>
          <w:szCs w:val="20"/>
        </w:rPr>
        <w:t>-</w:t>
      </w:r>
      <w:r w:rsidRPr="00300EE8">
        <w:rPr>
          <w:szCs w:val="20"/>
        </w:rPr>
        <w:t xml:space="preserve">яких спірних питань та/або питань, не врегульованих </w:t>
      </w:r>
      <w:r w:rsidR="00257754" w:rsidRPr="00300EE8">
        <w:rPr>
          <w:szCs w:val="20"/>
        </w:rPr>
        <w:t>умов цієї Публічної обіцянки винагороди</w:t>
      </w:r>
      <w:r w:rsidRPr="00300EE8">
        <w:rPr>
          <w:szCs w:val="20"/>
        </w:rPr>
        <w:t xml:space="preserve">, остаточне рішення приймається </w:t>
      </w:r>
      <w:r w:rsidR="00257754" w:rsidRPr="00300EE8">
        <w:rPr>
          <w:szCs w:val="20"/>
        </w:rPr>
        <w:t>Банком</w:t>
      </w:r>
      <w:r w:rsidRPr="00300EE8">
        <w:rPr>
          <w:szCs w:val="20"/>
        </w:rPr>
        <w:t xml:space="preserve">. При цьому рішення </w:t>
      </w:r>
      <w:r w:rsidR="00257754" w:rsidRPr="00300EE8">
        <w:rPr>
          <w:szCs w:val="20"/>
        </w:rPr>
        <w:t>Банку</w:t>
      </w:r>
      <w:r w:rsidRPr="00300EE8">
        <w:rPr>
          <w:szCs w:val="20"/>
        </w:rPr>
        <w:t xml:space="preserve"> є остаточним і не підлягає оскар</w:t>
      </w:r>
      <w:r w:rsidR="00136894" w:rsidRPr="00300EE8">
        <w:rPr>
          <w:szCs w:val="20"/>
        </w:rPr>
        <w:t>женню.</w:t>
      </w:r>
    </w:p>
    <w:p w14:paraId="4F01EC61" w14:textId="77777777" w:rsidR="00142DF4" w:rsidRPr="00300EE8" w:rsidRDefault="00142DF4" w:rsidP="003A317B">
      <w:pPr>
        <w:spacing w:after="0" w:line="240" w:lineRule="auto"/>
        <w:ind w:left="0" w:right="1" w:firstLine="0"/>
        <w:rPr>
          <w:szCs w:val="20"/>
        </w:rPr>
      </w:pPr>
    </w:p>
    <w:p w14:paraId="0385C9A1" w14:textId="437D1332" w:rsidR="005D0EB5" w:rsidRPr="00300EE8" w:rsidRDefault="00257754" w:rsidP="003A317B">
      <w:pPr>
        <w:spacing w:after="0" w:line="240" w:lineRule="auto"/>
        <w:ind w:left="0" w:right="1" w:firstLine="0"/>
        <w:rPr>
          <w:szCs w:val="20"/>
        </w:rPr>
      </w:pPr>
      <w:r w:rsidRPr="00300EE8">
        <w:rPr>
          <w:szCs w:val="20"/>
        </w:rPr>
        <w:t>8.3</w:t>
      </w:r>
      <w:r w:rsidR="005D0EB5" w:rsidRPr="00300EE8">
        <w:rPr>
          <w:szCs w:val="20"/>
        </w:rPr>
        <w:t>.</w:t>
      </w:r>
      <w:r w:rsidR="005D0EB5" w:rsidRPr="00300EE8">
        <w:rPr>
          <w:rFonts w:eastAsia="Arial" w:cs="Arial"/>
          <w:szCs w:val="20"/>
        </w:rPr>
        <w:t xml:space="preserve"> </w:t>
      </w:r>
      <w:r w:rsidRPr="00300EE8">
        <w:rPr>
          <w:szCs w:val="20"/>
        </w:rPr>
        <w:t>Банк звільняє</w:t>
      </w:r>
      <w:r w:rsidR="005D0EB5" w:rsidRPr="00300EE8">
        <w:rPr>
          <w:szCs w:val="20"/>
        </w:rPr>
        <w:t>ться від відповідальності у разі настання форс</w:t>
      </w:r>
      <w:r w:rsidR="00583632" w:rsidRPr="00300EE8">
        <w:rPr>
          <w:szCs w:val="20"/>
        </w:rPr>
        <w:t>-</w:t>
      </w:r>
      <w:r w:rsidR="005D0EB5" w:rsidRPr="00300EE8">
        <w:rPr>
          <w:szCs w:val="20"/>
        </w:rPr>
        <w:t xml:space="preserve">мажорних обставин, таких як стихійні лиха, пожежа, повінь, військові дії будь-якого характеру, блокади, суттєві зміни у законодавстві, що діють на території </w:t>
      </w:r>
      <w:r w:rsidRPr="00300EE8">
        <w:rPr>
          <w:szCs w:val="20"/>
        </w:rPr>
        <w:t>дії цієї Публічної обіцянки винагороди</w:t>
      </w:r>
      <w:r w:rsidR="005D0EB5" w:rsidRPr="00300EE8">
        <w:rPr>
          <w:szCs w:val="20"/>
        </w:rPr>
        <w:t xml:space="preserve">, інші непідвладні контролю з боку </w:t>
      </w:r>
      <w:r w:rsidRPr="00300EE8">
        <w:rPr>
          <w:szCs w:val="20"/>
        </w:rPr>
        <w:t xml:space="preserve">Банку </w:t>
      </w:r>
      <w:r w:rsidR="005D0EB5" w:rsidRPr="00300EE8">
        <w:rPr>
          <w:szCs w:val="20"/>
        </w:rPr>
        <w:t xml:space="preserve">обставини. </w:t>
      </w:r>
    </w:p>
    <w:p w14:paraId="30563F3B" w14:textId="77C47AA5" w:rsidR="00E763DE" w:rsidRPr="00300EE8" w:rsidRDefault="00E763DE" w:rsidP="003A317B">
      <w:pPr>
        <w:spacing w:after="0" w:line="240" w:lineRule="auto"/>
        <w:ind w:left="0" w:right="1" w:firstLine="0"/>
        <w:rPr>
          <w:szCs w:val="20"/>
        </w:rPr>
      </w:pPr>
    </w:p>
    <w:p w14:paraId="4576213E" w14:textId="368A7690" w:rsidR="005D0EB5" w:rsidRPr="00300EE8" w:rsidRDefault="009F3393" w:rsidP="00C741A0">
      <w:pPr>
        <w:spacing w:after="0" w:line="240" w:lineRule="auto"/>
        <w:ind w:left="0" w:right="0" w:firstLine="0"/>
        <w:jc w:val="left"/>
        <w:rPr>
          <w:rFonts w:cs="Calibri"/>
          <w:szCs w:val="20"/>
        </w:rPr>
      </w:pPr>
      <w:r w:rsidRPr="00300EE8">
        <w:rPr>
          <w:rFonts w:cs="Calibri"/>
          <w:szCs w:val="20"/>
        </w:rPr>
        <w:t xml:space="preserve">8.4. </w:t>
      </w:r>
      <w:r w:rsidR="00E763DE" w:rsidRPr="00300EE8">
        <w:rPr>
          <w:rFonts w:cs="Calibri"/>
          <w:szCs w:val="20"/>
        </w:rPr>
        <w:t xml:space="preserve">З </w:t>
      </w:r>
      <w:r w:rsidR="00ED4764" w:rsidRPr="00300EE8">
        <w:rPr>
          <w:rFonts w:cs="Calibri"/>
          <w:szCs w:val="20"/>
        </w:rPr>
        <w:t xml:space="preserve">01 </w:t>
      </w:r>
      <w:r w:rsidR="002E084D">
        <w:rPr>
          <w:rFonts w:cs="Calibri"/>
          <w:szCs w:val="20"/>
        </w:rPr>
        <w:t>квітня</w:t>
      </w:r>
      <w:r w:rsidR="00ED4764" w:rsidRPr="00300EE8">
        <w:rPr>
          <w:rFonts w:cs="Calibri"/>
          <w:szCs w:val="20"/>
        </w:rPr>
        <w:t xml:space="preserve"> </w:t>
      </w:r>
      <w:r w:rsidR="00E763DE" w:rsidRPr="00300EE8">
        <w:rPr>
          <w:rFonts w:cs="Calibri"/>
          <w:szCs w:val="20"/>
        </w:rPr>
        <w:t>202</w:t>
      </w:r>
      <w:r w:rsidR="002E084D">
        <w:rPr>
          <w:rFonts w:cs="Calibri"/>
          <w:szCs w:val="20"/>
        </w:rPr>
        <w:t>6</w:t>
      </w:r>
      <w:r w:rsidR="00BE2FFC" w:rsidRPr="00300EE8">
        <w:rPr>
          <w:rFonts w:cs="Calibri"/>
          <w:szCs w:val="20"/>
        </w:rPr>
        <w:t xml:space="preserve"> </w:t>
      </w:r>
      <w:r w:rsidR="00E763DE" w:rsidRPr="00300EE8">
        <w:rPr>
          <w:rFonts w:cs="Calibri"/>
          <w:szCs w:val="20"/>
        </w:rPr>
        <w:t>р</w:t>
      </w:r>
      <w:r w:rsidR="00BE2FFC" w:rsidRPr="00300EE8">
        <w:rPr>
          <w:rFonts w:cs="Calibri"/>
          <w:szCs w:val="20"/>
        </w:rPr>
        <w:t>оку</w:t>
      </w:r>
      <w:r w:rsidR="00E763DE" w:rsidRPr="00300EE8">
        <w:rPr>
          <w:rFonts w:cs="Calibri"/>
          <w:szCs w:val="20"/>
        </w:rPr>
        <w:t xml:space="preserve"> припиняється чинність Публічної обіцянки винагороди</w:t>
      </w:r>
      <w:r w:rsidR="00483338" w:rsidRPr="00300EE8">
        <w:rPr>
          <w:rFonts w:cs="Calibri"/>
          <w:szCs w:val="20"/>
        </w:rPr>
        <w:t>, яка є</w:t>
      </w:r>
      <w:r w:rsidR="00E763DE" w:rsidRPr="00300EE8">
        <w:rPr>
          <w:rFonts w:cs="Calibri"/>
          <w:szCs w:val="20"/>
        </w:rPr>
        <w:t xml:space="preserve"> Додат</w:t>
      </w:r>
      <w:r w:rsidR="00483338" w:rsidRPr="00300EE8">
        <w:rPr>
          <w:rFonts w:cs="Calibri"/>
          <w:szCs w:val="20"/>
        </w:rPr>
        <w:t>ком</w:t>
      </w:r>
      <w:r w:rsidR="00E763DE" w:rsidRPr="00300EE8">
        <w:rPr>
          <w:rFonts w:cs="Calibri"/>
          <w:szCs w:val="20"/>
        </w:rPr>
        <w:t xml:space="preserve"> </w:t>
      </w:r>
      <w:r w:rsidR="00483338" w:rsidRPr="00300EE8">
        <w:rPr>
          <w:rFonts w:cs="Calibri"/>
          <w:szCs w:val="20"/>
        </w:rPr>
        <w:t>1</w:t>
      </w:r>
      <w:r w:rsidR="00E763DE" w:rsidRPr="00300EE8">
        <w:rPr>
          <w:rFonts w:cs="Calibri"/>
          <w:szCs w:val="20"/>
        </w:rPr>
        <w:t xml:space="preserve"> до </w:t>
      </w:r>
      <w:r w:rsidR="00483338" w:rsidRPr="00300EE8">
        <w:rPr>
          <w:rFonts w:cs="Calibri"/>
          <w:szCs w:val="20"/>
        </w:rPr>
        <w:t>Наказу</w:t>
      </w:r>
      <w:r w:rsidR="00345396" w:rsidRPr="00300EE8">
        <w:rPr>
          <w:rFonts w:cs="Calibri"/>
          <w:szCs w:val="20"/>
        </w:rPr>
        <w:t xml:space="preserve"> </w:t>
      </w:r>
      <w:r w:rsidR="002E084D" w:rsidRPr="002E084D">
        <w:rPr>
          <w:rFonts w:cs="Calibri"/>
          <w:szCs w:val="20"/>
        </w:rPr>
        <w:t>№АН-473 від 24.11.2025р.</w:t>
      </w:r>
    </w:p>
    <w:sectPr w:rsidR="005D0EB5" w:rsidRPr="00300EE8" w:rsidSect="000466AB">
      <w:headerReference w:type="default" r:id="rId16"/>
      <w:footerReference w:type="even" r:id="rId17"/>
      <w:footerReference w:type="default" r:id="rId18"/>
      <w:footerReference w:type="first" r:id="rId19"/>
      <w:footnotePr>
        <w:numRestart w:val="eachPage"/>
      </w:footnotePr>
      <w:pgSz w:w="11904" w:h="16836"/>
      <w:pgMar w:top="964" w:right="564" w:bottom="1101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DDE0" w14:textId="77777777" w:rsidR="007A57D4" w:rsidRDefault="007A57D4">
      <w:pPr>
        <w:spacing w:after="0" w:line="240" w:lineRule="auto"/>
      </w:pPr>
      <w:r>
        <w:separator/>
      </w:r>
    </w:p>
  </w:endnote>
  <w:endnote w:type="continuationSeparator" w:id="0">
    <w:p w14:paraId="11C556B0" w14:textId="77777777" w:rsidR="007A57D4" w:rsidRDefault="007A57D4">
      <w:pPr>
        <w:spacing w:after="0" w:line="240" w:lineRule="auto"/>
      </w:pPr>
      <w:r>
        <w:continuationSeparator/>
      </w:r>
    </w:p>
  </w:endnote>
  <w:endnote w:type="continuationNotice" w:id="1">
    <w:p w14:paraId="1321E619" w14:textId="77777777" w:rsidR="007A57D4" w:rsidRDefault="007A5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73E7" w14:textId="3854D564" w:rsidR="00794681" w:rsidRDefault="00794681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8B1DC5" wp14:editId="75E3078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69060" cy="342900"/>
              <wp:effectExtent l="0" t="0" r="0" b="0"/>
              <wp:wrapNone/>
              <wp:docPr id="1333284948" name="Поле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90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463B4" w14:textId="0761B2B5" w:rsidR="00794681" w:rsidRPr="00794681" w:rsidRDefault="00794681" w:rsidP="007946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</w:pPr>
                          <w:r w:rsidRPr="00794681"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B1DC5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alt="Classification: PUBLIC" style="position:absolute;left:0;text-align:left;margin-left:56.6pt;margin-top:0;width:107.8pt;height:27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" filled="f" stroked="f">
              <v:textbox style="mso-fit-shape-to-text:t" inset="0,0,20pt,15pt">
                <w:txbxContent>
                  <w:p w14:paraId="34B463B4" w14:textId="0761B2B5" w:rsidR="00794681" w:rsidRPr="00794681" w:rsidRDefault="00794681" w:rsidP="007946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Cs w:val="20"/>
                      </w:rPr>
                    </w:pPr>
                    <w:r w:rsidRPr="00794681">
                      <w:rPr>
                        <w:rFonts w:ascii="Calibri" w:eastAsia="Calibri" w:hAnsi="Calibri" w:cs="Calibri"/>
                        <w:noProof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89"/>
      <w:gridCol w:w="3673"/>
      <w:gridCol w:w="2603"/>
    </w:tblGrid>
    <w:tr w:rsidR="00B22115" w:rsidRPr="00192201" w14:paraId="7E798C5C" w14:textId="77777777">
      <w:trPr>
        <w:trHeight w:val="571"/>
      </w:trPr>
      <w:tc>
        <w:tcPr>
          <w:tcW w:w="378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AB35D8" w14:textId="26BDDF2A" w:rsidR="00B22115" w:rsidRPr="003465E9" w:rsidRDefault="00794681" w:rsidP="00D57531">
          <w:pPr>
            <w:pStyle w:val="ae"/>
            <w:ind w:left="0" w:firstLine="0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D270DF2" wp14:editId="3342F91D">
                    <wp:simplePos x="971550" y="9721850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1369060" cy="342900"/>
                    <wp:effectExtent l="0" t="0" r="0" b="0"/>
                    <wp:wrapNone/>
                    <wp:docPr id="1849050399" name="Поле 6" descr="Classification: PUBLIC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6906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D621A9" w14:textId="78D63552" w:rsidR="00794681" w:rsidRPr="00794681" w:rsidRDefault="00794681" w:rsidP="0079468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szCs w:val="20"/>
                                  </w:rPr>
                                </w:pPr>
                                <w:r w:rsidRPr="00794681">
                                  <w:rPr>
                                    <w:rFonts w:ascii="Calibri" w:eastAsia="Calibri" w:hAnsi="Calibri" w:cs="Calibri"/>
                                    <w:noProof/>
                                    <w:szCs w:val="20"/>
                                  </w:rPr>
                                  <w:t>Classification: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D270DF2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6" o:spid="_x0000_s1027" type="#_x0000_t202" alt="Classification: PUBLIC" style="position:absolute;left:0;text-align:left;margin-left:56.6pt;margin-top:0;width:107.8pt;height:27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" filled="f" stroked="f">
                    <v:textbox style="mso-fit-shape-to-text:t" inset="0,0,20pt,15pt">
                      <w:txbxContent>
                        <w:p w14:paraId="73D621A9" w14:textId="78D63552" w:rsidR="00794681" w:rsidRPr="00794681" w:rsidRDefault="00794681" w:rsidP="007946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</w:pPr>
                          <w:r w:rsidRPr="00794681"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  <w:t>Classification: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67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3D9661" w14:textId="77777777" w:rsidR="00B22115" w:rsidRPr="00192201" w:rsidRDefault="00B22115" w:rsidP="00B22115">
          <w:pPr>
            <w:pStyle w:val="ae"/>
            <w:jc w:val="center"/>
            <w:rPr>
              <w:rFonts w:cs="Arial"/>
              <w:sz w:val="18"/>
              <w:szCs w:val="18"/>
            </w:rPr>
          </w:pPr>
        </w:p>
        <w:p w14:paraId="44BEEB31" w14:textId="77777777" w:rsidR="00B22115" w:rsidRPr="00233555" w:rsidRDefault="00B22115" w:rsidP="00B22115">
          <w:pPr>
            <w:pStyle w:val="ae"/>
            <w:jc w:val="center"/>
            <w:rPr>
              <w:sz w:val="18"/>
              <w:szCs w:val="18"/>
            </w:rPr>
          </w:pPr>
        </w:p>
      </w:tc>
      <w:tc>
        <w:tcPr>
          <w:tcW w:w="260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B519C7A" w14:textId="77777777" w:rsidR="00B22115" w:rsidRPr="00192201" w:rsidRDefault="00B22115" w:rsidP="00B22115">
          <w:pPr>
            <w:pStyle w:val="ae"/>
            <w:jc w:val="right"/>
            <w:rPr>
              <w:rStyle w:val="af2"/>
              <w:sz w:val="18"/>
              <w:szCs w:val="18"/>
            </w:rPr>
          </w:pPr>
        </w:p>
        <w:p w14:paraId="34ECE0D1" w14:textId="4503ADFF" w:rsidR="00B22115" w:rsidRPr="00192201" w:rsidRDefault="00B22115" w:rsidP="00B22115">
          <w:pPr>
            <w:pStyle w:val="ae"/>
            <w:tabs>
              <w:tab w:val="left" w:pos="1976"/>
              <w:tab w:val="right" w:pos="2528"/>
            </w:tabs>
            <w:jc w:val="right"/>
            <w:rPr>
              <w:sz w:val="18"/>
              <w:szCs w:val="18"/>
            </w:rPr>
          </w:pPr>
          <w:r w:rsidRPr="00192201">
            <w:rPr>
              <w:rStyle w:val="af2"/>
              <w:sz w:val="18"/>
              <w:szCs w:val="18"/>
            </w:rPr>
            <w:fldChar w:fldCharType="begin"/>
          </w:r>
          <w:r w:rsidRPr="002D016B">
            <w:rPr>
              <w:rStyle w:val="af2"/>
              <w:sz w:val="18"/>
              <w:szCs w:val="18"/>
            </w:rPr>
            <w:instrText xml:space="preserve"> PAGE </w:instrText>
          </w:r>
          <w:r w:rsidRPr="00192201">
            <w:rPr>
              <w:rStyle w:val="af2"/>
              <w:sz w:val="18"/>
              <w:szCs w:val="18"/>
            </w:rPr>
            <w:fldChar w:fldCharType="separate"/>
          </w:r>
          <w:r w:rsidR="00F8238F">
            <w:rPr>
              <w:rStyle w:val="af2"/>
              <w:noProof/>
              <w:sz w:val="18"/>
              <w:szCs w:val="18"/>
            </w:rPr>
            <w:t>5</w:t>
          </w:r>
          <w:r w:rsidRPr="00192201">
            <w:rPr>
              <w:rStyle w:val="af2"/>
              <w:sz w:val="18"/>
              <w:szCs w:val="18"/>
            </w:rPr>
            <w:fldChar w:fldCharType="end"/>
          </w:r>
          <w:r w:rsidRPr="00192201">
            <w:rPr>
              <w:rStyle w:val="af2"/>
              <w:sz w:val="18"/>
              <w:szCs w:val="18"/>
            </w:rPr>
            <w:t xml:space="preserve"> з </w:t>
          </w:r>
          <w:r w:rsidRPr="00192201">
            <w:rPr>
              <w:rStyle w:val="af2"/>
              <w:sz w:val="18"/>
              <w:szCs w:val="18"/>
            </w:rPr>
            <w:fldChar w:fldCharType="begin"/>
          </w:r>
          <w:r w:rsidRPr="002D016B">
            <w:rPr>
              <w:rStyle w:val="af2"/>
              <w:sz w:val="18"/>
              <w:szCs w:val="18"/>
            </w:rPr>
            <w:instrText xml:space="preserve"> NUMPAGES </w:instrText>
          </w:r>
          <w:r w:rsidRPr="00192201">
            <w:rPr>
              <w:rStyle w:val="af2"/>
              <w:sz w:val="18"/>
              <w:szCs w:val="18"/>
            </w:rPr>
            <w:fldChar w:fldCharType="separate"/>
          </w:r>
          <w:r w:rsidR="00F8238F">
            <w:rPr>
              <w:rStyle w:val="af2"/>
              <w:noProof/>
              <w:sz w:val="18"/>
              <w:szCs w:val="18"/>
            </w:rPr>
            <w:t>5</w:t>
          </w:r>
          <w:r w:rsidRPr="00192201">
            <w:rPr>
              <w:rStyle w:val="af2"/>
              <w:sz w:val="18"/>
              <w:szCs w:val="18"/>
            </w:rPr>
            <w:fldChar w:fldCharType="end"/>
          </w:r>
        </w:p>
      </w:tc>
    </w:tr>
  </w:tbl>
  <w:p w14:paraId="5B2E854C" w14:textId="77777777" w:rsidR="00B22115" w:rsidRDefault="00B2211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57C8" w14:textId="5BF35DB2" w:rsidR="00794681" w:rsidRDefault="00794681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5E6B61" wp14:editId="4356496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69060" cy="342900"/>
              <wp:effectExtent l="0" t="0" r="0" b="0"/>
              <wp:wrapNone/>
              <wp:docPr id="1730866504" name="Поле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90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4157D" w14:textId="0E591C8D" w:rsidR="00794681" w:rsidRPr="00794681" w:rsidRDefault="00794681" w:rsidP="007946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</w:pPr>
                          <w:r w:rsidRPr="00794681"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E6B61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alt="Classification: PUBLIC" style="position:absolute;left:0;text-align:left;margin-left:56.6pt;margin-top:0;width:107.8pt;height:27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" filled="f" stroked="f">
              <v:textbox style="mso-fit-shape-to-text:t" inset="0,0,20pt,15pt">
                <w:txbxContent>
                  <w:p w14:paraId="0724157D" w14:textId="0E591C8D" w:rsidR="00794681" w:rsidRPr="00794681" w:rsidRDefault="00794681" w:rsidP="007946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Cs w:val="20"/>
                      </w:rPr>
                    </w:pPr>
                    <w:r w:rsidRPr="00794681">
                      <w:rPr>
                        <w:rFonts w:ascii="Calibri" w:eastAsia="Calibri" w:hAnsi="Calibri" w:cs="Calibri"/>
                        <w:noProof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B18B" w14:textId="77777777" w:rsidR="007A57D4" w:rsidRDefault="007A57D4">
      <w:pPr>
        <w:spacing w:after="251" w:line="258" w:lineRule="auto"/>
        <w:ind w:left="0" w:right="0" w:firstLine="0"/>
      </w:pPr>
      <w:r>
        <w:separator/>
      </w:r>
    </w:p>
  </w:footnote>
  <w:footnote w:type="continuationSeparator" w:id="0">
    <w:p w14:paraId="5A59CAF8" w14:textId="77777777" w:rsidR="007A57D4" w:rsidRDefault="007A57D4">
      <w:pPr>
        <w:spacing w:after="251" w:line="258" w:lineRule="auto"/>
        <w:ind w:left="0" w:right="0" w:firstLine="0"/>
      </w:pPr>
      <w:r>
        <w:continuationSeparator/>
      </w:r>
    </w:p>
  </w:footnote>
  <w:footnote w:type="continuationNotice" w:id="1">
    <w:p w14:paraId="5BE7B70B" w14:textId="77777777" w:rsidR="007A57D4" w:rsidRDefault="007A5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2" w:type="dxa"/>
      <w:tblInd w:w="108" w:type="dxa"/>
      <w:tblLook w:val="0000" w:firstRow="0" w:lastRow="0" w:firstColumn="0" w:lastColumn="0" w:noHBand="0" w:noVBand="0"/>
    </w:tblPr>
    <w:tblGrid>
      <w:gridCol w:w="6112"/>
      <w:gridCol w:w="3290"/>
    </w:tblGrid>
    <w:tr w:rsidR="00B22115" w:rsidRPr="00E60024" w14:paraId="0C847D32" w14:textId="77777777">
      <w:trPr>
        <w:trHeight w:val="533"/>
      </w:trPr>
      <w:tc>
        <w:tcPr>
          <w:tcW w:w="6112" w:type="dxa"/>
          <w:tcBorders>
            <w:bottom w:val="single" w:sz="4" w:space="0" w:color="auto"/>
          </w:tcBorders>
        </w:tcPr>
        <w:p w14:paraId="1BDE981B" w14:textId="77777777" w:rsidR="00B22115" w:rsidRPr="00E60024" w:rsidRDefault="00B22115" w:rsidP="00B22115">
          <w:pPr>
            <w:pStyle w:val="af0"/>
            <w:rPr>
              <w:rFonts w:ascii="Century Gothic" w:hAnsi="Century Gothic" w:cs="Arial"/>
              <w:sz w:val="18"/>
              <w:szCs w:val="18"/>
            </w:rPr>
          </w:pPr>
          <w:bookmarkStart w:id="0" w:name="_Hlk73707465"/>
        </w:p>
      </w:tc>
      <w:tc>
        <w:tcPr>
          <w:tcW w:w="3290" w:type="dxa"/>
          <w:tcBorders>
            <w:bottom w:val="single" w:sz="4" w:space="0" w:color="auto"/>
          </w:tcBorders>
        </w:tcPr>
        <w:p w14:paraId="457DF749" w14:textId="27D174CA" w:rsidR="00B22115" w:rsidRPr="00E60024" w:rsidRDefault="001A28A7" w:rsidP="00B22115">
          <w:pPr>
            <w:pStyle w:val="ac"/>
            <w:jc w:val="right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97A2D0B" wp14:editId="4F1ED9A9">
                <wp:extent cx="1491615" cy="487680"/>
                <wp:effectExtent l="0" t="0" r="0" b="7620"/>
                <wp:docPr id="984584747" name="Рисунок 9845847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35" cy="506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9BC1F2B" w14:textId="77777777" w:rsidR="00B22115" w:rsidRDefault="00B2211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83295"/>
    <w:multiLevelType w:val="hybridMultilevel"/>
    <w:tmpl w:val="912E1932"/>
    <w:lvl w:ilvl="0" w:tplc="0C8A68FC">
      <w:start w:val="1"/>
      <w:numFmt w:val="decimal"/>
      <w:pStyle w:val="1"/>
      <w:lvlText w:val="%1."/>
      <w:lvlJc w:val="left"/>
      <w:pPr>
        <w:ind w:left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16F08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244EA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0086B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6AA37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6C3B18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28E4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DEF55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02F794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405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89"/>
    <w:rsid w:val="0000614E"/>
    <w:rsid w:val="00010DAB"/>
    <w:rsid w:val="00016781"/>
    <w:rsid w:val="00023033"/>
    <w:rsid w:val="00030BF3"/>
    <w:rsid w:val="0003133D"/>
    <w:rsid w:val="00034E14"/>
    <w:rsid w:val="000466AB"/>
    <w:rsid w:val="00047E48"/>
    <w:rsid w:val="0005346C"/>
    <w:rsid w:val="00057BE9"/>
    <w:rsid w:val="000727E4"/>
    <w:rsid w:val="000738BF"/>
    <w:rsid w:val="0007549C"/>
    <w:rsid w:val="000904F7"/>
    <w:rsid w:val="000920A9"/>
    <w:rsid w:val="00093DC6"/>
    <w:rsid w:val="000A0ABB"/>
    <w:rsid w:val="000A1DEA"/>
    <w:rsid w:val="000B02B5"/>
    <w:rsid w:val="000B38C2"/>
    <w:rsid w:val="000B3947"/>
    <w:rsid w:val="000B3B2B"/>
    <w:rsid w:val="000B5F33"/>
    <w:rsid w:val="000B7D67"/>
    <w:rsid w:val="001072FF"/>
    <w:rsid w:val="00107985"/>
    <w:rsid w:val="00110E3A"/>
    <w:rsid w:val="00115AF9"/>
    <w:rsid w:val="00127523"/>
    <w:rsid w:val="00130505"/>
    <w:rsid w:val="0013207B"/>
    <w:rsid w:val="00136894"/>
    <w:rsid w:val="00137383"/>
    <w:rsid w:val="001412B8"/>
    <w:rsid w:val="001419CB"/>
    <w:rsid w:val="00142DF4"/>
    <w:rsid w:val="00143638"/>
    <w:rsid w:val="00144B84"/>
    <w:rsid w:val="00145B0A"/>
    <w:rsid w:val="00146ABE"/>
    <w:rsid w:val="00155021"/>
    <w:rsid w:val="00160BDE"/>
    <w:rsid w:val="001618AA"/>
    <w:rsid w:val="001677EB"/>
    <w:rsid w:val="00173661"/>
    <w:rsid w:val="00174771"/>
    <w:rsid w:val="0018037E"/>
    <w:rsid w:val="001841AC"/>
    <w:rsid w:val="00191850"/>
    <w:rsid w:val="0019244D"/>
    <w:rsid w:val="001956FA"/>
    <w:rsid w:val="00196C8A"/>
    <w:rsid w:val="001A21BE"/>
    <w:rsid w:val="001A28A7"/>
    <w:rsid w:val="001A37C1"/>
    <w:rsid w:val="001A42CF"/>
    <w:rsid w:val="001C79B6"/>
    <w:rsid w:val="001C7FEF"/>
    <w:rsid w:val="001D2CD7"/>
    <w:rsid w:val="001D3AE4"/>
    <w:rsid w:val="001E044E"/>
    <w:rsid w:val="001E0C6A"/>
    <w:rsid w:val="001E7EBE"/>
    <w:rsid w:val="001F27C1"/>
    <w:rsid w:val="001F768A"/>
    <w:rsid w:val="00200CB3"/>
    <w:rsid w:val="002035F9"/>
    <w:rsid w:val="00214428"/>
    <w:rsid w:val="002148E5"/>
    <w:rsid w:val="00225DC9"/>
    <w:rsid w:val="00226DE5"/>
    <w:rsid w:val="00232294"/>
    <w:rsid w:val="00237E47"/>
    <w:rsid w:val="00246DC0"/>
    <w:rsid w:val="00247308"/>
    <w:rsid w:val="00257754"/>
    <w:rsid w:val="002601CD"/>
    <w:rsid w:val="00260F42"/>
    <w:rsid w:val="00272276"/>
    <w:rsid w:val="00273B1A"/>
    <w:rsid w:val="00273B82"/>
    <w:rsid w:val="00276AE0"/>
    <w:rsid w:val="00276CD3"/>
    <w:rsid w:val="002809D4"/>
    <w:rsid w:val="0028683E"/>
    <w:rsid w:val="00293DE7"/>
    <w:rsid w:val="00296356"/>
    <w:rsid w:val="00296F02"/>
    <w:rsid w:val="00297137"/>
    <w:rsid w:val="00297187"/>
    <w:rsid w:val="002A0295"/>
    <w:rsid w:val="002A07BB"/>
    <w:rsid w:val="002A3685"/>
    <w:rsid w:val="002B27B6"/>
    <w:rsid w:val="002C192B"/>
    <w:rsid w:val="002C2982"/>
    <w:rsid w:val="002C6932"/>
    <w:rsid w:val="002C71E1"/>
    <w:rsid w:val="002D6737"/>
    <w:rsid w:val="002E084D"/>
    <w:rsid w:val="002F628F"/>
    <w:rsid w:val="00300961"/>
    <w:rsid w:val="00300EE8"/>
    <w:rsid w:val="003163A1"/>
    <w:rsid w:val="0031679B"/>
    <w:rsid w:val="00316EBC"/>
    <w:rsid w:val="00340207"/>
    <w:rsid w:val="00342B12"/>
    <w:rsid w:val="00345396"/>
    <w:rsid w:val="003661C4"/>
    <w:rsid w:val="003702DA"/>
    <w:rsid w:val="00373372"/>
    <w:rsid w:val="00386569"/>
    <w:rsid w:val="00390837"/>
    <w:rsid w:val="00396B9D"/>
    <w:rsid w:val="003A111A"/>
    <w:rsid w:val="003A13BF"/>
    <w:rsid w:val="003A317B"/>
    <w:rsid w:val="003A7F5A"/>
    <w:rsid w:val="003B042B"/>
    <w:rsid w:val="003B2B58"/>
    <w:rsid w:val="003B3611"/>
    <w:rsid w:val="003B414E"/>
    <w:rsid w:val="003B6FBC"/>
    <w:rsid w:val="003B6FC3"/>
    <w:rsid w:val="003D2C6D"/>
    <w:rsid w:val="003D3283"/>
    <w:rsid w:val="003D3286"/>
    <w:rsid w:val="003D3BB4"/>
    <w:rsid w:val="003E02DF"/>
    <w:rsid w:val="003E1915"/>
    <w:rsid w:val="003F0F0C"/>
    <w:rsid w:val="003F12FE"/>
    <w:rsid w:val="003F2247"/>
    <w:rsid w:val="003F39F2"/>
    <w:rsid w:val="003F4AE3"/>
    <w:rsid w:val="00403918"/>
    <w:rsid w:val="00405FB4"/>
    <w:rsid w:val="0041451A"/>
    <w:rsid w:val="00414658"/>
    <w:rsid w:val="004154C6"/>
    <w:rsid w:val="0042485B"/>
    <w:rsid w:val="00426F98"/>
    <w:rsid w:val="00433136"/>
    <w:rsid w:val="00443F31"/>
    <w:rsid w:val="00445C87"/>
    <w:rsid w:val="00450E75"/>
    <w:rsid w:val="00451F05"/>
    <w:rsid w:val="0045628A"/>
    <w:rsid w:val="00464294"/>
    <w:rsid w:val="00471EF2"/>
    <w:rsid w:val="00472F69"/>
    <w:rsid w:val="00472FE1"/>
    <w:rsid w:val="00483338"/>
    <w:rsid w:val="004846A0"/>
    <w:rsid w:val="00485824"/>
    <w:rsid w:val="004868FE"/>
    <w:rsid w:val="00491BB5"/>
    <w:rsid w:val="00497116"/>
    <w:rsid w:val="004A002E"/>
    <w:rsid w:val="004A1100"/>
    <w:rsid w:val="004A19E0"/>
    <w:rsid w:val="004B2F12"/>
    <w:rsid w:val="004B5E04"/>
    <w:rsid w:val="004B64F8"/>
    <w:rsid w:val="004B73A4"/>
    <w:rsid w:val="004B73D6"/>
    <w:rsid w:val="004C6648"/>
    <w:rsid w:val="004D0C95"/>
    <w:rsid w:val="004E1617"/>
    <w:rsid w:val="004E1EA6"/>
    <w:rsid w:val="004E582C"/>
    <w:rsid w:val="004E646E"/>
    <w:rsid w:val="004F2F6D"/>
    <w:rsid w:val="004F618D"/>
    <w:rsid w:val="004F7887"/>
    <w:rsid w:val="00510D4D"/>
    <w:rsid w:val="005128DD"/>
    <w:rsid w:val="00517E16"/>
    <w:rsid w:val="00530C70"/>
    <w:rsid w:val="00533751"/>
    <w:rsid w:val="00534B6E"/>
    <w:rsid w:val="005421F6"/>
    <w:rsid w:val="00556810"/>
    <w:rsid w:val="005615BB"/>
    <w:rsid w:val="00562A15"/>
    <w:rsid w:val="00563EB3"/>
    <w:rsid w:val="005719D3"/>
    <w:rsid w:val="00573ACE"/>
    <w:rsid w:val="00575542"/>
    <w:rsid w:val="005755B0"/>
    <w:rsid w:val="005820E9"/>
    <w:rsid w:val="005824B2"/>
    <w:rsid w:val="005830DB"/>
    <w:rsid w:val="005835DE"/>
    <w:rsid w:val="00583632"/>
    <w:rsid w:val="005A6BC4"/>
    <w:rsid w:val="005B2FF3"/>
    <w:rsid w:val="005B5B8C"/>
    <w:rsid w:val="005B7B87"/>
    <w:rsid w:val="005C4D7A"/>
    <w:rsid w:val="005C50D7"/>
    <w:rsid w:val="005D05B6"/>
    <w:rsid w:val="005D08B3"/>
    <w:rsid w:val="005D0EB5"/>
    <w:rsid w:val="005D3880"/>
    <w:rsid w:val="005E31A7"/>
    <w:rsid w:val="005F008A"/>
    <w:rsid w:val="005F12FB"/>
    <w:rsid w:val="006022B8"/>
    <w:rsid w:val="00606790"/>
    <w:rsid w:val="00606A80"/>
    <w:rsid w:val="00613867"/>
    <w:rsid w:val="006234AA"/>
    <w:rsid w:val="0062717E"/>
    <w:rsid w:val="00627F21"/>
    <w:rsid w:val="0063130D"/>
    <w:rsid w:val="00633E18"/>
    <w:rsid w:val="00634422"/>
    <w:rsid w:val="006404E6"/>
    <w:rsid w:val="006416E4"/>
    <w:rsid w:val="00667921"/>
    <w:rsid w:val="00674446"/>
    <w:rsid w:val="0067496F"/>
    <w:rsid w:val="00675CC6"/>
    <w:rsid w:val="00680283"/>
    <w:rsid w:val="006868EC"/>
    <w:rsid w:val="006938AD"/>
    <w:rsid w:val="006A0B12"/>
    <w:rsid w:val="006A41ED"/>
    <w:rsid w:val="006A5238"/>
    <w:rsid w:val="006A7625"/>
    <w:rsid w:val="006B0EBE"/>
    <w:rsid w:val="006B2F11"/>
    <w:rsid w:val="006B570B"/>
    <w:rsid w:val="006C0F2F"/>
    <w:rsid w:val="006D34C8"/>
    <w:rsid w:val="006D5CDA"/>
    <w:rsid w:val="006E2963"/>
    <w:rsid w:val="006F5FA8"/>
    <w:rsid w:val="00700909"/>
    <w:rsid w:val="00700D81"/>
    <w:rsid w:val="00701B52"/>
    <w:rsid w:val="00715FFF"/>
    <w:rsid w:val="00723877"/>
    <w:rsid w:val="0072701A"/>
    <w:rsid w:val="0073183A"/>
    <w:rsid w:val="00740A34"/>
    <w:rsid w:val="007414BB"/>
    <w:rsid w:val="0074346F"/>
    <w:rsid w:val="0075404A"/>
    <w:rsid w:val="00754AD1"/>
    <w:rsid w:val="0075598C"/>
    <w:rsid w:val="0076157C"/>
    <w:rsid w:val="00763F8E"/>
    <w:rsid w:val="00770991"/>
    <w:rsid w:val="00773105"/>
    <w:rsid w:val="0077609A"/>
    <w:rsid w:val="00783573"/>
    <w:rsid w:val="007878BE"/>
    <w:rsid w:val="00794681"/>
    <w:rsid w:val="007951E1"/>
    <w:rsid w:val="007A3AB9"/>
    <w:rsid w:val="007A4160"/>
    <w:rsid w:val="007A57D4"/>
    <w:rsid w:val="007A6D9A"/>
    <w:rsid w:val="007C6544"/>
    <w:rsid w:val="007C65BC"/>
    <w:rsid w:val="007D0404"/>
    <w:rsid w:val="007D2184"/>
    <w:rsid w:val="007E2BE4"/>
    <w:rsid w:val="007F0AA4"/>
    <w:rsid w:val="007F0E7C"/>
    <w:rsid w:val="007F64C2"/>
    <w:rsid w:val="007F7155"/>
    <w:rsid w:val="008066CE"/>
    <w:rsid w:val="00813F4C"/>
    <w:rsid w:val="0081565D"/>
    <w:rsid w:val="00815837"/>
    <w:rsid w:val="00826BCA"/>
    <w:rsid w:val="00827D5D"/>
    <w:rsid w:val="00832608"/>
    <w:rsid w:val="00834B4F"/>
    <w:rsid w:val="008442FA"/>
    <w:rsid w:val="00851ABC"/>
    <w:rsid w:val="00852133"/>
    <w:rsid w:val="00852A12"/>
    <w:rsid w:val="00855BC8"/>
    <w:rsid w:val="00857BB3"/>
    <w:rsid w:val="008679FB"/>
    <w:rsid w:val="008806E7"/>
    <w:rsid w:val="00890BA8"/>
    <w:rsid w:val="00894333"/>
    <w:rsid w:val="00896E34"/>
    <w:rsid w:val="008A771A"/>
    <w:rsid w:val="008C0ED3"/>
    <w:rsid w:val="008C2D0B"/>
    <w:rsid w:val="008C565C"/>
    <w:rsid w:val="008D016B"/>
    <w:rsid w:val="008D2E69"/>
    <w:rsid w:val="008E1CC3"/>
    <w:rsid w:val="008E5121"/>
    <w:rsid w:val="008E73DD"/>
    <w:rsid w:val="008F1326"/>
    <w:rsid w:val="008F1E96"/>
    <w:rsid w:val="008F673C"/>
    <w:rsid w:val="0090018D"/>
    <w:rsid w:val="00900A1A"/>
    <w:rsid w:val="00905F98"/>
    <w:rsid w:val="00911A2F"/>
    <w:rsid w:val="00921B70"/>
    <w:rsid w:val="009223D4"/>
    <w:rsid w:val="009274BD"/>
    <w:rsid w:val="009318D8"/>
    <w:rsid w:val="00932E88"/>
    <w:rsid w:val="00935AD2"/>
    <w:rsid w:val="009456FD"/>
    <w:rsid w:val="00953DBD"/>
    <w:rsid w:val="00955CF7"/>
    <w:rsid w:val="00976C45"/>
    <w:rsid w:val="009803F7"/>
    <w:rsid w:val="0098121C"/>
    <w:rsid w:val="009879EF"/>
    <w:rsid w:val="009A185A"/>
    <w:rsid w:val="009A24CB"/>
    <w:rsid w:val="009C6EA6"/>
    <w:rsid w:val="009C7175"/>
    <w:rsid w:val="009E0DC8"/>
    <w:rsid w:val="009E4238"/>
    <w:rsid w:val="009F12E4"/>
    <w:rsid w:val="009F2CB9"/>
    <w:rsid w:val="009F3393"/>
    <w:rsid w:val="009F4E2A"/>
    <w:rsid w:val="009F756C"/>
    <w:rsid w:val="00A0081B"/>
    <w:rsid w:val="00A07C81"/>
    <w:rsid w:val="00A105B8"/>
    <w:rsid w:val="00A11AC1"/>
    <w:rsid w:val="00A11C30"/>
    <w:rsid w:val="00A1250F"/>
    <w:rsid w:val="00A2064B"/>
    <w:rsid w:val="00A216FC"/>
    <w:rsid w:val="00A22016"/>
    <w:rsid w:val="00A24970"/>
    <w:rsid w:val="00A26F5B"/>
    <w:rsid w:val="00A27397"/>
    <w:rsid w:val="00A30653"/>
    <w:rsid w:val="00A40607"/>
    <w:rsid w:val="00A4156E"/>
    <w:rsid w:val="00A454C7"/>
    <w:rsid w:val="00A53602"/>
    <w:rsid w:val="00A53B92"/>
    <w:rsid w:val="00A56EE0"/>
    <w:rsid w:val="00A641A2"/>
    <w:rsid w:val="00A64719"/>
    <w:rsid w:val="00A6723A"/>
    <w:rsid w:val="00A67E5A"/>
    <w:rsid w:val="00A7406C"/>
    <w:rsid w:val="00A810B7"/>
    <w:rsid w:val="00A840E1"/>
    <w:rsid w:val="00A844DC"/>
    <w:rsid w:val="00A84873"/>
    <w:rsid w:val="00A92FDD"/>
    <w:rsid w:val="00AA3613"/>
    <w:rsid w:val="00AC41E0"/>
    <w:rsid w:val="00AC57B6"/>
    <w:rsid w:val="00AC60B6"/>
    <w:rsid w:val="00AD450A"/>
    <w:rsid w:val="00AD45D1"/>
    <w:rsid w:val="00AE1C67"/>
    <w:rsid w:val="00AE4755"/>
    <w:rsid w:val="00B053FD"/>
    <w:rsid w:val="00B05ACC"/>
    <w:rsid w:val="00B155FF"/>
    <w:rsid w:val="00B17236"/>
    <w:rsid w:val="00B22115"/>
    <w:rsid w:val="00B23FD8"/>
    <w:rsid w:val="00B30F32"/>
    <w:rsid w:val="00B36EA9"/>
    <w:rsid w:val="00B42950"/>
    <w:rsid w:val="00B43B7F"/>
    <w:rsid w:val="00B45A84"/>
    <w:rsid w:val="00B50634"/>
    <w:rsid w:val="00B51BA6"/>
    <w:rsid w:val="00B52957"/>
    <w:rsid w:val="00B52CB1"/>
    <w:rsid w:val="00B62604"/>
    <w:rsid w:val="00B63566"/>
    <w:rsid w:val="00B6783F"/>
    <w:rsid w:val="00B71850"/>
    <w:rsid w:val="00B72100"/>
    <w:rsid w:val="00B81BAB"/>
    <w:rsid w:val="00B863B2"/>
    <w:rsid w:val="00B9222C"/>
    <w:rsid w:val="00B961F0"/>
    <w:rsid w:val="00BA0A70"/>
    <w:rsid w:val="00BB1B2B"/>
    <w:rsid w:val="00BB2EAB"/>
    <w:rsid w:val="00BC2B99"/>
    <w:rsid w:val="00BC30D0"/>
    <w:rsid w:val="00BC7178"/>
    <w:rsid w:val="00BE139D"/>
    <w:rsid w:val="00BE2FFC"/>
    <w:rsid w:val="00BE4141"/>
    <w:rsid w:val="00BF0973"/>
    <w:rsid w:val="00BF308C"/>
    <w:rsid w:val="00BF33D6"/>
    <w:rsid w:val="00BF3500"/>
    <w:rsid w:val="00BF3BF5"/>
    <w:rsid w:val="00BF4567"/>
    <w:rsid w:val="00BF4B5C"/>
    <w:rsid w:val="00BF62AA"/>
    <w:rsid w:val="00C029C9"/>
    <w:rsid w:val="00C0477B"/>
    <w:rsid w:val="00C0612A"/>
    <w:rsid w:val="00C07B25"/>
    <w:rsid w:val="00C114F4"/>
    <w:rsid w:val="00C34DFB"/>
    <w:rsid w:val="00C352AD"/>
    <w:rsid w:val="00C4175E"/>
    <w:rsid w:val="00C425DB"/>
    <w:rsid w:val="00C43E67"/>
    <w:rsid w:val="00C45591"/>
    <w:rsid w:val="00C4574D"/>
    <w:rsid w:val="00C5068D"/>
    <w:rsid w:val="00C50B64"/>
    <w:rsid w:val="00C57854"/>
    <w:rsid w:val="00C57C48"/>
    <w:rsid w:val="00C741A0"/>
    <w:rsid w:val="00C8181D"/>
    <w:rsid w:val="00C82881"/>
    <w:rsid w:val="00C82C6A"/>
    <w:rsid w:val="00C83408"/>
    <w:rsid w:val="00C846F2"/>
    <w:rsid w:val="00C86EF8"/>
    <w:rsid w:val="00C95B61"/>
    <w:rsid w:val="00C975D0"/>
    <w:rsid w:val="00CA1CE8"/>
    <w:rsid w:val="00CA78A2"/>
    <w:rsid w:val="00CB0201"/>
    <w:rsid w:val="00CB05A3"/>
    <w:rsid w:val="00CB1D0A"/>
    <w:rsid w:val="00CB6879"/>
    <w:rsid w:val="00CC2790"/>
    <w:rsid w:val="00CC5529"/>
    <w:rsid w:val="00CD1B45"/>
    <w:rsid w:val="00CD3D61"/>
    <w:rsid w:val="00CD6051"/>
    <w:rsid w:val="00CD78FA"/>
    <w:rsid w:val="00CE1859"/>
    <w:rsid w:val="00CE20DC"/>
    <w:rsid w:val="00CF2EB3"/>
    <w:rsid w:val="00D0237F"/>
    <w:rsid w:val="00D1016A"/>
    <w:rsid w:val="00D10EBE"/>
    <w:rsid w:val="00D11956"/>
    <w:rsid w:val="00D1279B"/>
    <w:rsid w:val="00D13025"/>
    <w:rsid w:val="00D17818"/>
    <w:rsid w:val="00D20179"/>
    <w:rsid w:val="00D24AA6"/>
    <w:rsid w:val="00D2501C"/>
    <w:rsid w:val="00D30389"/>
    <w:rsid w:val="00D31E5A"/>
    <w:rsid w:val="00D32C8D"/>
    <w:rsid w:val="00D33902"/>
    <w:rsid w:val="00D35387"/>
    <w:rsid w:val="00D4478C"/>
    <w:rsid w:val="00D44D6C"/>
    <w:rsid w:val="00D50793"/>
    <w:rsid w:val="00D56F21"/>
    <w:rsid w:val="00D57531"/>
    <w:rsid w:val="00D64028"/>
    <w:rsid w:val="00D64192"/>
    <w:rsid w:val="00D65AFC"/>
    <w:rsid w:val="00D6760D"/>
    <w:rsid w:val="00D8154C"/>
    <w:rsid w:val="00D83C5C"/>
    <w:rsid w:val="00D878C1"/>
    <w:rsid w:val="00D87E1C"/>
    <w:rsid w:val="00D9273C"/>
    <w:rsid w:val="00D9333D"/>
    <w:rsid w:val="00D93B29"/>
    <w:rsid w:val="00DA3AC2"/>
    <w:rsid w:val="00DA6CD3"/>
    <w:rsid w:val="00DB1E3D"/>
    <w:rsid w:val="00DB596B"/>
    <w:rsid w:val="00DB5E81"/>
    <w:rsid w:val="00DB6B94"/>
    <w:rsid w:val="00DD1F4D"/>
    <w:rsid w:val="00DE23A9"/>
    <w:rsid w:val="00DE2DD4"/>
    <w:rsid w:val="00DF62FE"/>
    <w:rsid w:val="00DF6D62"/>
    <w:rsid w:val="00E122FF"/>
    <w:rsid w:val="00E15502"/>
    <w:rsid w:val="00E15EC2"/>
    <w:rsid w:val="00E17C0F"/>
    <w:rsid w:val="00E21A5C"/>
    <w:rsid w:val="00E25474"/>
    <w:rsid w:val="00E30155"/>
    <w:rsid w:val="00E32B6B"/>
    <w:rsid w:val="00E3433A"/>
    <w:rsid w:val="00E5424A"/>
    <w:rsid w:val="00E61F28"/>
    <w:rsid w:val="00E62596"/>
    <w:rsid w:val="00E709BD"/>
    <w:rsid w:val="00E71976"/>
    <w:rsid w:val="00E72F70"/>
    <w:rsid w:val="00E73218"/>
    <w:rsid w:val="00E763DE"/>
    <w:rsid w:val="00E76F1D"/>
    <w:rsid w:val="00E860B3"/>
    <w:rsid w:val="00E87E04"/>
    <w:rsid w:val="00E90F93"/>
    <w:rsid w:val="00E95097"/>
    <w:rsid w:val="00E9521E"/>
    <w:rsid w:val="00E96389"/>
    <w:rsid w:val="00E970FD"/>
    <w:rsid w:val="00EA0C05"/>
    <w:rsid w:val="00ED052B"/>
    <w:rsid w:val="00ED4764"/>
    <w:rsid w:val="00EE035C"/>
    <w:rsid w:val="00EE035D"/>
    <w:rsid w:val="00EE1385"/>
    <w:rsid w:val="00EE1E09"/>
    <w:rsid w:val="00EE23E9"/>
    <w:rsid w:val="00EE5C6E"/>
    <w:rsid w:val="00EF0570"/>
    <w:rsid w:val="00EF36B4"/>
    <w:rsid w:val="00F04C2D"/>
    <w:rsid w:val="00F202DB"/>
    <w:rsid w:val="00F233F9"/>
    <w:rsid w:val="00F34352"/>
    <w:rsid w:val="00F35050"/>
    <w:rsid w:val="00F35913"/>
    <w:rsid w:val="00F364F4"/>
    <w:rsid w:val="00F4644E"/>
    <w:rsid w:val="00F52B10"/>
    <w:rsid w:val="00F53CB5"/>
    <w:rsid w:val="00F6030C"/>
    <w:rsid w:val="00F70022"/>
    <w:rsid w:val="00F73FCA"/>
    <w:rsid w:val="00F8057B"/>
    <w:rsid w:val="00F8238F"/>
    <w:rsid w:val="00F824A7"/>
    <w:rsid w:val="00F9759E"/>
    <w:rsid w:val="00F97EFF"/>
    <w:rsid w:val="00FA474B"/>
    <w:rsid w:val="00FA716B"/>
    <w:rsid w:val="00FB0331"/>
    <w:rsid w:val="00FB398A"/>
    <w:rsid w:val="00FB645C"/>
    <w:rsid w:val="00FC2BE3"/>
    <w:rsid w:val="00FC3F8D"/>
    <w:rsid w:val="00FC50B0"/>
    <w:rsid w:val="00FD795A"/>
    <w:rsid w:val="00FE10AC"/>
    <w:rsid w:val="00FE1DCB"/>
    <w:rsid w:val="00FE7810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7AC5F"/>
  <w15:docId w15:val="{070761F8-E78E-486A-ABC6-26CDBCC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5" w:line="236" w:lineRule="auto"/>
      <w:ind w:left="575" w:right="14" w:hanging="575"/>
      <w:jc w:val="both"/>
    </w:pPr>
    <w:rPr>
      <w:rFonts w:ascii="Century Gothic" w:eastAsia="Century Gothic" w:hAnsi="Century Gothic" w:cs="Century Gothic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21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entury Gothic" w:eastAsia="Century Gothic" w:hAnsi="Century Gothic" w:cs="Century Gothic"/>
      <w:b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hidden/>
    <w:pPr>
      <w:spacing w:after="126" w:line="255" w:lineRule="auto"/>
      <w:ind w:right="11"/>
      <w:jc w:val="both"/>
    </w:pPr>
    <w:rPr>
      <w:rFonts w:ascii="Century Gothic" w:eastAsia="Century Gothic" w:hAnsi="Century Gothic" w:cs="Century Gothic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entury Gothic" w:eastAsia="Century Gothic" w:hAnsi="Century Gothic" w:cs="Century Gothic"/>
      <w:i/>
      <w:color w:val="000000"/>
      <w:sz w:val="18"/>
    </w:rPr>
  </w:style>
  <w:style w:type="character" w:customStyle="1" w:styleId="footnotemark">
    <w:name w:val="footnote mark"/>
    <w:hidden/>
    <w:rPr>
      <w:rFonts w:ascii="Century Gothic" w:eastAsia="Century Gothic" w:hAnsi="Century Gothic" w:cs="Century Gothic"/>
      <w:i/>
      <w:color w:val="000000"/>
      <w:sz w:val="18"/>
      <w:vertAlign w:val="superscript"/>
    </w:rPr>
  </w:style>
  <w:style w:type="character" w:styleId="a3">
    <w:name w:val="Hyperlink"/>
    <w:basedOn w:val="a0"/>
    <w:uiPriority w:val="99"/>
    <w:unhideWhenUsed/>
    <w:rsid w:val="00F3591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0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22016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A22016"/>
    <w:pPr>
      <w:spacing w:line="240" w:lineRule="auto"/>
    </w:pPr>
    <w:rPr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A22016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2201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22016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2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22016"/>
    <w:rPr>
      <w:rFonts w:ascii="Segoe UI" w:eastAsia="Century Gothic" w:hAnsi="Segoe UI" w:cs="Segoe UI"/>
      <w:color w:val="000000"/>
      <w:sz w:val="18"/>
      <w:szCs w:val="18"/>
    </w:rPr>
  </w:style>
  <w:style w:type="paragraph" w:styleId="3">
    <w:name w:val="Body Text 3"/>
    <w:basedOn w:val="a"/>
    <w:link w:val="30"/>
    <w:rsid w:val="008F1E96"/>
    <w:pPr>
      <w:spacing w:after="0" w:line="240" w:lineRule="auto"/>
      <w:ind w:left="0" w:right="0" w:firstLine="0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30">
    <w:name w:val="Основний текст 3 Знак"/>
    <w:basedOn w:val="a0"/>
    <w:link w:val="3"/>
    <w:rsid w:val="008F1E96"/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22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B22115"/>
    <w:rPr>
      <w:rFonts w:ascii="Century Gothic" w:eastAsia="Century Gothic" w:hAnsi="Century Gothic" w:cs="Century Gothic"/>
      <w:color w:val="000000"/>
      <w:sz w:val="20"/>
    </w:rPr>
  </w:style>
  <w:style w:type="paragraph" w:styleId="ae">
    <w:name w:val="footer"/>
    <w:basedOn w:val="a"/>
    <w:link w:val="af"/>
    <w:unhideWhenUsed/>
    <w:rsid w:val="00B22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B22115"/>
    <w:rPr>
      <w:rFonts w:ascii="Century Gothic" w:eastAsia="Century Gothic" w:hAnsi="Century Gothic" w:cs="Century Gothic"/>
      <w:color w:val="000000"/>
      <w:sz w:val="20"/>
    </w:rPr>
  </w:style>
  <w:style w:type="paragraph" w:styleId="af0">
    <w:name w:val="Normal (Web)"/>
    <w:aliases w:val="Обычный (Web)"/>
    <w:basedOn w:val="a"/>
    <w:link w:val="af1"/>
    <w:uiPriority w:val="99"/>
    <w:rsid w:val="00B2211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f2">
    <w:name w:val="page number"/>
    <w:basedOn w:val="a0"/>
    <w:rsid w:val="00B22115"/>
  </w:style>
  <w:style w:type="paragraph" w:styleId="af3">
    <w:name w:val="footnote text"/>
    <w:basedOn w:val="a"/>
    <w:link w:val="af4"/>
    <w:unhideWhenUsed/>
    <w:rsid w:val="00D50793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  <w:lang w:val="ru-RU" w:eastAsia="ru-RU"/>
    </w:rPr>
  </w:style>
  <w:style w:type="character" w:customStyle="1" w:styleId="af4">
    <w:name w:val="Текст виноски Знак"/>
    <w:basedOn w:val="a0"/>
    <w:link w:val="af3"/>
    <w:rsid w:val="00D507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footnote reference"/>
    <w:uiPriority w:val="99"/>
    <w:unhideWhenUsed/>
    <w:rsid w:val="00D50793"/>
    <w:rPr>
      <w:vertAlign w:val="superscript"/>
    </w:rPr>
  </w:style>
  <w:style w:type="character" w:styleId="af6">
    <w:name w:val="Unresolved Mention"/>
    <w:basedOn w:val="a0"/>
    <w:uiPriority w:val="99"/>
    <w:semiHidden/>
    <w:unhideWhenUsed/>
    <w:rsid w:val="001841AC"/>
    <w:rPr>
      <w:color w:val="605E5C"/>
      <w:shd w:val="clear" w:color="auto" w:fill="E1DFDD"/>
    </w:rPr>
  </w:style>
  <w:style w:type="paragraph" w:styleId="af7">
    <w:name w:val="No Spacing"/>
    <w:link w:val="af8"/>
    <w:uiPriority w:val="1"/>
    <w:qFormat/>
    <w:rsid w:val="00E76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Без інтервалів Знак"/>
    <w:link w:val="af7"/>
    <w:uiPriority w:val="1"/>
    <w:locked/>
    <w:rsid w:val="00E763DE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Revision"/>
    <w:hidden/>
    <w:uiPriority w:val="99"/>
    <w:semiHidden/>
    <w:rsid w:val="00276AE0"/>
    <w:pPr>
      <w:spacing w:after="0" w:line="240" w:lineRule="auto"/>
    </w:pPr>
    <w:rPr>
      <w:rFonts w:ascii="Century Gothic" w:eastAsia="Century Gothic" w:hAnsi="Century Gothic" w:cs="Century Gothic"/>
      <w:color w:val="000000"/>
      <w:sz w:val="20"/>
    </w:rPr>
  </w:style>
  <w:style w:type="character" w:customStyle="1" w:styleId="af1">
    <w:name w:val="Звичайний (веб) Знак"/>
    <w:aliases w:val="Обычный (Web) Знак"/>
    <w:link w:val="af0"/>
    <w:uiPriority w:val="99"/>
    <w:locked/>
    <w:rsid w:val="006868E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iffeisen.ua/biznesu/klub-moj-biznes/stati-partnerom-bank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raiffeisen.u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iffeisen.ua/biznesu/klub-moj-biznes/stati-partnerom-bank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aiffeisen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iffeisen.ua/biznesu/klub-moj-biznes/stati-partnerom-ban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EBFEA8F4021D4FBAE2BD7AAE63B6F4" ma:contentTypeVersion="28" ma:contentTypeDescription="Створення нового документа." ma:contentTypeScope="" ma:versionID="6ed00a9444b1e57e9a140d81b53393a5">
  <xsd:schema xmlns:xsd="http://www.w3.org/2001/XMLSchema" xmlns:xs="http://www.w3.org/2001/XMLSchema" xmlns:p="http://schemas.microsoft.com/office/2006/metadata/properties" xmlns:ns1="http://schemas.microsoft.com/sharepoint/v3" xmlns:ns2="419c4b18-dcc6-4d5c-a6f9-eed18fb1f67e" xmlns:ns3="eab6e9a0-9e5b-4623-a1f5-aada53eefe87" targetNamespace="http://schemas.microsoft.com/office/2006/metadata/properties" ma:root="true" ma:fieldsID="062d8077b1c1f88260efe6aad10d66f7" ns1:_="" ns2:_="" ns3:_="">
    <xsd:import namespace="http://schemas.microsoft.com/sharepoint/v3"/>
    <xsd:import namespace="419c4b18-dcc6-4d5c-a6f9-eed18fb1f67e"/>
    <xsd:import namespace="eab6e9a0-9e5b-4623-a1f5-aada53eef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x0420__x043e__x0437__x0442__x0430__x0448__x0443__x0432__x0430__x043d__x043d__x044f_" minOccurs="0"/>
                <xsd:element ref="ns2:ebfcbfa9-3eaf-493a-b1a6-a0b839e62215CountryOrRegion" minOccurs="0"/>
                <xsd:element ref="ns2:ebfcbfa9-3eaf-493a-b1a6-a0b839e62215State" minOccurs="0"/>
                <xsd:element ref="ns2:ebfcbfa9-3eaf-493a-b1a6-a0b839e62215City" minOccurs="0"/>
                <xsd:element ref="ns2:ebfcbfa9-3eaf-493a-b1a6-a0b839e62215PostalCode" minOccurs="0"/>
                <xsd:element ref="ns2:ebfcbfa9-3eaf-493a-b1a6-a0b839e62215Street" minOccurs="0"/>
                <xsd:element ref="ns2:ebfcbfa9-3eaf-493a-b1a6-a0b839e62215GeoLoc" minOccurs="0"/>
                <xsd:element ref="ns2:ebfcbfa9-3eaf-493a-b1a6-a0b839e62215DispNa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Властивості уніфікованої політики відповідності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Дія з інтерфейсом користувача в уніфікованій політиці відповідності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4b18-dcc6-4d5c-a6f9-eed18fb1f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x0420__x043e__x0437__x0442__x0430__x0448__x0443__x0432__x0430__x043d__x043d__x044f_" ma:index="17" nillable="true" ma:displayName="Розташування" ma:format="Dropdown" ma:internalName="_x0420__x043e__x0437__x0442__x0430__x0448__x0443__x0432__x0430__x043d__x043d__x044f_">
      <xsd:simpleType>
        <xsd:restriction base="dms:Unknown"/>
      </xsd:simpleType>
    </xsd:element>
    <xsd:element name="ebfcbfa9-3eaf-493a-b1a6-a0b839e62215CountryOrRegion" ma:index="18" nillable="true" ma:displayName="Розташування: країна або регіон" ma:internalName="CountryOrRegion" ma:readOnly="true">
      <xsd:simpleType>
        <xsd:restriction base="dms:Text"/>
      </xsd:simpleType>
    </xsd:element>
    <xsd:element name="ebfcbfa9-3eaf-493a-b1a6-a0b839e62215State" ma:index="19" nillable="true" ma:displayName="Розташування: область" ma:internalName="State" ma:readOnly="true">
      <xsd:simpleType>
        <xsd:restriction base="dms:Text"/>
      </xsd:simpleType>
    </xsd:element>
    <xsd:element name="ebfcbfa9-3eaf-493a-b1a6-a0b839e62215City" ma:index="20" nillable="true" ma:displayName="Розташування: місто" ma:internalName="City" ma:readOnly="true">
      <xsd:simpleType>
        <xsd:restriction base="dms:Text"/>
      </xsd:simpleType>
    </xsd:element>
    <xsd:element name="ebfcbfa9-3eaf-493a-b1a6-a0b839e62215PostalCode" ma:index="21" nillable="true" ma:displayName="Розташування: поштовий індекс" ma:internalName="PostalCode" ma:readOnly="true">
      <xsd:simpleType>
        <xsd:restriction base="dms:Text"/>
      </xsd:simpleType>
    </xsd:element>
    <xsd:element name="ebfcbfa9-3eaf-493a-b1a6-a0b839e62215Street" ma:index="22" nillable="true" ma:displayName="Розташування: вулиця" ma:internalName="Street" ma:readOnly="true">
      <xsd:simpleType>
        <xsd:restriction base="dms:Text"/>
      </xsd:simpleType>
    </xsd:element>
    <xsd:element name="ebfcbfa9-3eaf-493a-b1a6-a0b839e62215GeoLoc" ma:index="23" nillable="true" ma:displayName="Розташування: координати" ma:internalName="GeoLoc" ma:readOnly="true">
      <xsd:simpleType>
        <xsd:restriction base="dms:Unknown"/>
      </xsd:simpleType>
    </xsd:element>
    <xsd:element name="ebfcbfa9-3eaf-493a-b1a6-a0b839e62215DispName" ma:index="24" nillable="true" ma:displayName="Ім’я: Розташування:" ma:internalName="DispNa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6e9a0-9e5b-4623-a1f5-aada53eef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113f609-f092-4a0c-912c-2af5f8c07bd2}" ma:internalName="TaxCatchAll" ma:showField="CatchAllData" ma:web="eab6e9a0-9e5b-4623-a1f5-aada53eef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c4b18-dcc6-4d5c-a6f9-eed18fb1f67e">
      <Terms xmlns="http://schemas.microsoft.com/office/infopath/2007/PartnerControls"/>
    </lcf76f155ced4ddcb4097134ff3c332f>
    <_ip_UnifiedCompliancePolicyUIAction xmlns="http://schemas.microsoft.com/sharepoint/v3" xsi:nil="true"/>
    <TaxCatchAll xmlns="eab6e9a0-9e5b-4623-a1f5-aada53eefe87" xsi:nil="true"/>
    <_ip_UnifiedCompliancePolicyProperties xmlns="http://schemas.microsoft.com/sharepoint/v3" xsi:nil="true"/>
    <_x0420__x043e__x0437__x0442__x0430__x0448__x0443__x0432__x0430__x043d__x043d__x044f_ xmlns="419c4b18-dcc6-4d5c-a6f9-eed18fb1f67e" xsi:nil="true"/>
  </documentManagement>
</p:properties>
</file>

<file path=customXml/itemProps1.xml><?xml version="1.0" encoding="utf-8"?>
<ds:datastoreItem xmlns:ds="http://schemas.openxmlformats.org/officeDocument/2006/customXml" ds:itemID="{058E9008-01D8-4C15-9498-FC23D72DC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F835E-DEEC-4FCA-9D1D-DEF867AE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c4b18-dcc6-4d5c-a6f9-eed18fb1f67e"/>
    <ds:schemaRef ds:uri="eab6e9a0-9e5b-4623-a1f5-aada53eef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21F57-DD82-4898-98CA-52FF8F51D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C6D40-D309-4FC6-A74B-2707C5A5BEFB}">
  <ds:schemaRefs>
    <ds:schemaRef ds:uri="http://schemas.microsoft.com/office/2006/metadata/properties"/>
    <ds:schemaRef ds:uri="http://schemas.microsoft.com/office/infopath/2007/PartnerControls"/>
    <ds:schemaRef ds:uri="419c4b18-dcc6-4d5c-a6f9-eed18fb1f67e"/>
    <ds:schemaRef ds:uri="http://schemas.microsoft.com/sharepoint/v3"/>
    <ds:schemaRef ds:uri="eab6e9a0-9e5b-4623-a1f5-aada53eefe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9789</Words>
  <Characters>5581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RBA</Company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V.Vaksa</dc:creator>
  <cp:keywords/>
  <dc:description/>
  <cp:lastModifiedBy>Olena BASYSTA</cp:lastModifiedBy>
  <cp:revision>2</cp:revision>
  <cp:lastPrinted>2026-04-28T07:56:00Z</cp:lastPrinted>
  <dcterms:created xsi:type="dcterms:W3CDTF">2026-04-30T14:58:00Z</dcterms:created>
  <dcterms:modified xsi:type="dcterms:W3CDTF">2026-04-30T14:58:00Z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0x01010069EBFEA8F4021D4FBAE2BD7AAE63B6F4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672aed48,4f785054,6e36451f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Classification: PUBLIC</vt:lpwstr>
  </property>
  <property fmtid="{D5CDD505-2E9C-101B-9397-08002B2CF9AE}" pid="7" name="MSIP_Label_3eef8ae9-8c1e-4a4d-9bfb-b8c852cc2d49_Enabled">
    <vt:lpwstr>true</vt:lpwstr>
  </property>
  <property fmtid="{D5CDD505-2E9C-101B-9397-08002B2CF9AE}" pid="8" name="MSIP_Label_3eef8ae9-8c1e-4a4d-9bfb-b8c852cc2d49_SetDate">
    <vt:lpwstr>2025-05-08T09:43:28Z</vt:lpwstr>
  </property>
  <property fmtid="{D5CDD505-2E9C-101B-9397-08002B2CF9AE}" pid="9" name="MSIP_Label_3eef8ae9-8c1e-4a4d-9bfb-b8c852cc2d49_Method">
    <vt:lpwstr>Privileged</vt:lpwstr>
  </property>
  <property fmtid="{D5CDD505-2E9C-101B-9397-08002B2CF9AE}" pid="10" name="MSIP_Label_3eef8ae9-8c1e-4a4d-9bfb-b8c852cc2d49_Name">
    <vt:lpwstr>Public (visual mark)</vt:lpwstr>
  </property>
  <property fmtid="{D5CDD505-2E9C-101B-9397-08002B2CF9AE}" pid="11" name="MSIP_Label_3eef8ae9-8c1e-4a4d-9bfb-b8c852cc2d49_SiteId">
    <vt:lpwstr>9b511fda-f0b1-43a5-b06e-1e720f64520a</vt:lpwstr>
  </property>
  <property fmtid="{D5CDD505-2E9C-101B-9397-08002B2CF9AE}" pid="12" name="MSIP_Label_3eef8ae9-8c1e-4a4d-9bfb-b8c852cc2d49_ActionId">
    <vt:lpwstr>40f1b067-b2c2-41b5-8546-970b48253b08</vt:lpwstr>
  </property>
  <property fmtid="{D5CDD505-2E9C-101B-9397-08002B2CF9AE}" pid="13" name="MSIP_Label_3eef8ae9-8c1e-4a4d-9bfb-b8c852cc2d49_ContentBits">
    <vt:lpwstr>2</vt:lpwstr>
  </property>
</Properties>
</file>